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1.png" ContentType="image/png"/>
  <Override PartName="/word/media/rId38.png" ContentType="image/png"/>
  <Override PartName="/word/media/rId57.png" ContentType="image/png"/>
  <Override PartName="/word/media/rId52.png" ContentType="image/png"/>
  <Override PartName="/word/media/rId47.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similarity</w:t>
      </w:r>
      <w:r>
        <w:t xml:space="preserve"> </w:t>
      </w:r>
      <w:r>
        <w:t xml:space="preserve">to</w:t>
      </w:r>
      <w:r>
        <w:t xml:space="preserve"> </w:t>
      </w:r>
      <w:r>
        <w:t xml:space="preserve">high</w:t>
      </w:r>
      <w:r>
        <w:t xml:space="preserve"> </w:t>
      </w:r>
      <w:r>
        <w:t xml:space="preserve">ecological</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2024-11-05</w:t>
      </w:r>
    </w:p>
    <w:p>
      <w:pPr>
        <w:pStyle w:val="AbstractTitle"/>
      </w:pPr>
      <w:r>
        <w:t xml:space="preserve">Abstract</w:t>
      </w:r>
    </w:p>
    <w:p>
      <w:pPr>
        <w:pStyle w:val="Abstract"/>
      </w:pPr>
      <w:r>
        <w:t xml:space="preserve">Forests</w:t>
      </w:r>
      <w:r>
        <w:t xml:space="preserve"> </w:t>
      </w:r>
      <w:r>
        <w:t xml:space="preserve">with</w:t>
      </w:r>
      <w:r>
        <w:t xml:space="preserve"> </w:t>
      </w:r>
      <w:r>
        <w:t xml:space="preserve">high</w:t>
      </w:r>
      <w:r>
        <w:t xml:space="preserve"> </w:t>
      </w:r>
      <w:r>
        <w:t xml:space="preserve">ecological</w:t>
      </w:r>
      <w:r>
        <w:t xml:space="preserve"> </w:t>
      </w:r>
      <w:r>
        <w:t xml:space="preserve">integrity</w:t>
      </w:r>
      <w:r>
        <w:t xml:space="preserve"> </w:t>
      </w:r>
      <w:r>
        <w:t xml:space="preserve">have</w:t>
      </w:r>
      <w:r>
        <w:t xml:space="preserve"> </w:t>
      </w:r>
      <w:r>
        <w:t xml:space="preserve">natural</w:t>
      </w:r>
      <w:r>
        <w:t xml:space="preserve"> </w:t>
      </w:r>
      <w:r>
        <w:t xml:space="preserve">or</w:t>
      </w:r>
      <w:r>
        <w:t xml:space="preserve"> </w:t>
      </w:r>
      <w:r>
        <w:t xml:space="preserve">near</w:t>
      </w:r>
      <w:r>
        <w:t xml:space="preserve"> </w:t>
      </w:r>
      <w:r>
        <w:t xml:space="preserve">natural</w:t>
      </w:r>
      <w:r>
        <w:t xml:space="preserve"> </w:t>
      </w:r>
      <w:r>
        <w:t xml:space="preserve">ecosystem</w:t>
      </w:r>
      <w:r>
        <w:t xml:space="preserve"> </w:t>
      </w:r>
      <w:r>
        <w:t xml:space="preserve">structure,</w:t>
      </w:r>
      <w:r>
        <w:t xml:space="preserve"> </w:t>
      </w:r>
      <w:r>
        <w:t xml:space="preserve">function,</w:t>
      </w:r>
      <w:r>
        <w:t xml:space="preserve"> </w:t>
      </w:r>
      <w:r>
        <w:t xml:space="preserve">and</w:t>
      </w:r>
      <w:r>
        <w:t xml:space="preserve"> </w:t>
      </w:r>
      <w:r>
        <w:t xml:space="preserve">composition,</w:t>
      </w:r>
      <w:r>
        <w:t xml:space="preserve"> </w:t>
      </w:r>
      <w:r>
        <w:t xml:space="preserve">are</w:t>
      </w:r>
      <w:r>
        <w:t xml:space="preserve"> </w:t>
      </w:r>
      <w:r>
        <w:t xml:space="preserve">home</w:t>
      </w:r>
      <w:r>
        <w:t xml:space="preserve"> </w:t>
      </w:r>
      <w:r>
        <w:t xml:space="preserve">to</w:t>
      </w:r>
      <w:r>
        <w:t xml:space="preserve"> </w:t>
      </w:r>
      <w:r>
        <w:t xml:space="preserve">large</w:t>
      </w:r>
      <w:r>
        <w:t xml:space="preserve"> </w:t>
      </w:r>
      <w:r>
        <w:t xml:space="preserve">amounts</w:t>
      </w:r>
      <w:r>
        <w:t xml:space="preserve"> </w:t>
      </w:r>
      <w:r>
        <w:t xml:space="preserve">of</w:t>
      </w:r>
      <w:r>
        <w:t xml:space="preserve"> </w:t>
      </w:r>
      <w:r>
        <w:t xml:space="preserve">biodiversity,</w:t>
      </w:r>
      <w:r>
        <w:t xml:space="preserve"> </w:t>
      </w:r>
      <w:r>
        <w:t xml:space="preserve">and</w:t>
      </w:r>
      <w:r>
        <w:t xml:space="preserve"> </w:t>
      </w:r>
      <w:r>
        <w:t xml:space="preserve">provide</w:t>
      </w:r>
      <w:r>
        <w:t xml:space="preserve"> </w:t>
      </w:r>
      <w:r>
        <w:t xml:space="preserve">integral</w:t>
      </w:r>
      <w:r>
        <w:t xml:space="preserve"> </w:t>
      </w:r>
      <w:r>
        <w:t xml:space="preserve">ecosystem</w:t>
      </w:r>
      <w:r>
        <w:t xml:space="preserve"> </w:t>
      </w:r>
      <w:r>
        <w:t xml:space="preserve">services.</w:t>
      </w:r>
      <w:r>
        <w:t xml:space="preserve"> </w:t>
      </w:r>
      <w:r>
        <w:t xml:space="preserve">Anthropogenic</w:t>
      </w:r>
      <w:r>
        <w:t xml:space="preserve"> </w:t>
      </w:r>
      <w:r>
        <w:t xml:space="preserve">pressures</w:t>
      </w:r>
      <w:r>
        <w:t xml:space="preserve"> </w:t>
      </w:r>
      <w:r>
        <w:t xml:space="preserve">such</w:t>
      </w:r>
      <w:r>
        <w:t xml:space="preserve"> </w:t>
      </w:r>
      <w:r>
        <w:t xml:space="preserve">as</w:t>
      </w:r>
      <w:r>
        <w:t xml:space="preserve"> </w:t>
      </w:r>
      <w:r>
        <w:t xml:space="preserve">habitat</w:t>
      </w:r>
      <w:r>
        <w:t xml:space="preserve"> </w:t>
      </w:r>
      <w:r>
        <w:t xml:space="preserve">loss,</w:t>
      </w:r>
      <w:r>
        <w:t xml:space="preserve"> </w:t>
      </w:r>
      <w:r>
        <w:t xml:space="preserve">overexploitation,</w:t>
      </w:r>
      <w:r>
        <w:t xml:space="preserve"> </w:t>
      </w:r>
      <w:r>
        <w:t xml:space="preserve">and</w:t>
      </w:r>
      <w:r>
        <w:t xml:space="preserve"> </w:t>
      </w:r>
      <w:r>
        <w:t xml:space="preserve">land</w:t>
      </w:r>
      <w:r>
        <w:t xml:space="preserve"> </w:t>
      </w:r>
      <w:r>
        <w:t xml:space="preserve">use</w:t>
      </w:r>
      <w:r>
        <w:t xml:space="preserve"> </w:t>
      </w:r>
      <w:r>
        <w:t xml:space="preserve">changes</w:t>
      </w:r>
      <w:r>
        <w:t xml:space="preserve"> </w:t>
      </w:r>
      <w:r>
        <w:t xml:space="preserve">are</w:t>
      </w:r>
      <w:r>
        <w:t xml:space="preserve"> </w:t>
      </w:r>
      <w:r>
        <w:t xml:space="preserve">leading</w:t>
      </w:r>
      <w:r>
        <w:t xml:space="preserve"> </w:t>
      </w:r>
      <w:r>
        <w:t xml:space="preserve">to</w:t>
      </w:r>
      <w:r>
        <w:t xml:space="preserve"> </w:t>
      </w:r>
      <w:r>
        <w:t xml:space="preserve">the</w:t>
      </w:r>
      <w:r>
        <w:t xml:space="preserve"> </w:t>
      </w:r>
      <w:r>
        <w:t xml:space="preserve">degradation</w:t>
      </w:r>
      <w:r>
        <w:t xml:space="preserve"> </w:t>
      </w:r>
      <w:r>
        <w:t xml:space="preserve">or</w:t>
      </w:r>
      <w:r>
        <w:t xml:space="preserve"> </w:t>
      </w:r>
      <w:r>
        <w:t xml:space="preserve">loss</w:t>
      </w:r>
      <w:r>
        <w:t xml:space="preserve"> </w:t>
      </w:r>
      <w:r>
        <w:t xml:space="preserve">of</w:t>
      </w:r>
      <w:r>
        <w:t xml:space="preserve"> </w:t>
      </w:r>
      <w:r>
        <w:t xml:space="preserve">high</w:t>
      </w:r>
      <w:r>
        <w:t xml:space="preserve"> </w:t>
      </w:r>
      <w:r>
        <w:t xml:space="preserve">integrity</w:t>
      </w:r>
      <w:r>
        <w:t xml:space="preserve"> </w:t>
      </w:r>
      <w:r>
        <w:t xml:space="preserve">forests.</w:t>
      </w:r>
      <w:r>
        <w:t xml:space="preserve"> </w:t>
      </w:r>
      <w:r>
        <w:t xml:space="preserve">As</w:t>
      </w:r>
      <w:r>
        <w:t xml:space="preserve"> </w:t>
      </w:r>
      <w:r>
        <w:t xml:space="preserve">a</w:t>
      </w:r>
      <w:r>
        <w:t xml:space="preserve"> </w:t>
      </w:r>
      <w:r>
        <w:t xml:space="preserve">result,</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locate</w:t>
      </w:r>
      <w:r>
        <w:t xml:space="preserve"> </w:t>
      </w:r>
      <w:r>
        <w:t xml:space="preserve">and</w:t>
      </w:r>
      <w:r>
        <w:t xml:space="preserve"> </w:t>
      </w:r>
      <w:r>
        <w:t xml:space="preserve">assess</w:t>
      </w:r>
      <w:r>
        <w:t xml:space="preserve"> </w:t>
      </w:r>
      <w:r>
        <w:t xml:space="preserve">the</w:t>
      </w:r>
      <w:r>
        <w:t xml:space="preserve"> </w:t>
      </w:r>
      <w:r>
        <w:t xml:space="preserve">quality</w:t>
      </w:r>
      <w:r>
        <w:t xml:space="preserve"> </w:t>
      </w:r>
      <w:r>
        <w:t xml:space="preserve">of</w:t>
      </w:r>
      <w:r>
        <w:t xml:space="preserve"> </w:t>
      </w:r>
      <w:r>
        <w:t xml:space="preserve">forests</w:t>
      </w:r>
      <w:r>
        <w:t xml:space="preserve"> </w:t>
      </w:r>
      <w:r>
        <w:t xml:space="preserve">stands</w:t>
      </w:r>
      <w:r>
        <w:t xml:space="preserve"> </w:t>
      </w:r>
      <w:r>
        <w:t xml:space="preserve">across</w:t>
      </w:r>
      <w:r>
        <w:t xml:space="preserve"> </w:t>
      </w:r>
      <w:r>
        <w:t xml:space="preserve">wide</w:t>
      </w:r>
      <w:r>
        <w:t xml:space="preserve"> </w:t>
      </w:r>
      <w:r>
        <w:t xml:space="preserve">swaths</w:t>
      </w:r>
      <w:r>
        <w:t xml:space="preserve"> </w:t>
      </w:r>
      <w:r>
        <w:t xml:space="preserve">of</w:t>
      </w:r>
      <w:r>
        <w:t xml:space="preserve"> </w:t>
      </w:r>
      <w:r>
        <w:t xml:space="preserve">land.</w:t>
      </w:r>
      <w:r>
        <w:t xml:space="preserve"> </w:t>
      </w:r>
      <w:r>
        <w:t xml:space="preserve">Remote</w:t>
      </w:r>
      <w:r>
        <w:t xml:space="preserve"> </w:t>
      </w:r>
      <w:r>
        <w:t xml:space="preserve">sensing</w:t>
      </w:r>
      <w:r>
        <w:t xml:space="preserve"> </w:t>
      </w:r>
      <w:r>
        <w:t xml:space="preserve">is</w:t>
      </w:r>
      <w:r>
        <w:t xml:space="preserve"> </w:t>
      </w:r>
      <w:r>
        <w:t xml:space="preserve">inreasingly</w:t>
      </w:r>
      <w:r>
        <w:t xml:space="preserve"> </w:t>
      </w:r>
      <w:r>
        <w:t xml:space="preserve">capable</w:t>
      </w:r>
      <w:r>
        <w:t xml:space="preserve"> </w:t>
      </w:r>
      <w:r>
        <w:t xml:space="preserve">of</w:t>
      </w:r>
      <w:r>
        <w:t xml:space="preserve"> </w:t>
      </w:r>
      <w:r>
        <w:t xml:space="preserve">making</w:t>
      </w:r>
      <w:r>
        <w:t xml:space="preserve"> </w:t>
      </w:r>
      <w:r>
        <w:t xml:space="preserve">these</w:t>
      </w:r>
      <w:r>
        <w:t xml:space="preserve"> </w:t>
      </w:r>
      <w:r>
        <w:t xml:space="preserve">assessments,</w:t>
      </w:r>
      <w:r>
        <w:t xml:space="preserve"> </w:t>
      </w:r>
      <w:r>
        <w:t xml:space="preserve">through</w:t>
      </w:r>
      <w:r>
        <w:t xml:space="preserve"> </w:t>
      </w:r>
      <w:r>
        <w:t xml:space="preserve">new</w:t>
      </w:r>
      <w:r>
        <w:t xml:space="preserve"> </w:t>
      </w:r>
      <w:r>
        <w:t xml:space="preserve">data</w:t>
      </w:r>
      <w:r>
        <w:t xml:space="preserve"> </w:t>
      </w:r>
      <w:r>
        <w:t xml:space="preserve">such</w:t>
      </w:r>
      <w:r>
        <w:t xml:space="preserve"> </w:t>
      </w:r>
      <w:r>
        <w:t xml:space="preserve">as</w:t>
      </w:r>
      <w:r>
        <w:t xml:space="preserve"> </w:t>
      </w:r>
      <w:r>
        <w:t xml:space="preserve">wall</w:t>
      </w:r>
      <w:r>
        <w:t xml:space="preserve"> </w:t>
      </w:r>
      <w:r>
        <w:t xml:space="preserve">to</w:t>
      </w:r>
      <w:r>
        <w:t xml:space="preserve"> </w:t>
      </w:r>
      <w:r>
        <w:t xml:space="preserve">wall</w:t>
      </w:r>
      <w:r>
        <w:t xml:space="preserve"> </w:t>
      </w:r>
      <w:r>
        <w:t xml:space="preserve">metrics</w:t>
      </w:r>
      <w:r>
        <w:t xml:space="preserve"> </w:t>
      </w:r>
      <w:r>
        <w:t xml:space="preserve">of</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demonstrate</w:t>
      </w:r>
      <w:r>
        <w:t xml:space="preserve"> </w:t>
      </w:r>
      <w:r>
        <w:t xml:space="preserve">a</w:t>
      </w:r>
      <w:r>
        <w:t xml:space="preserve"> </w:t>
      </w:r>
      <w:r>
        <w:t xml:space="preserve">method</w:t>
      </w:r>
      <w:r>
        <w:t xml:space="preserve"> </w:t>
      </w:r>
      <w:r>
        <w:t xml:space="preserve">to</w:t>
      </w:r>
      <w:r>
        <w:t xml:space="preserve"> </w:t>
      </w:r>
      <w:r>
        <w:t xml:space="preserve">assess</w:t>
      </w:r>
      <w:r>
        <w:t xml:space="preserve"> </w:t>
      </w:r>
      <w:r>
        <w:t xml:space="preserve">similarity</w:t>
      </w:r>
      <w:r>
        <w:t xml:space="preserve"> </w:t>
      </w:r>
      <w:r>
        <w:t xml:space="preserve">to</w:t>
      </w:r>
      <w:r>
        <w:t xml:space="preserve"> </w:t>
      </w:r>
      <w:r>
        <w:t xml:space="preserve">known</w:t>
      </w:r>
      <w:r>
        <w:t xml:space="preserve"> </w:t>
      </w:r>
      <w:r>
        <w:t xml:space="preserve">high</w:t>
      </w:r>
      <w:r>
        <w:t xml:space="preserve"> </w:t>
      </w:r>
      <w:r>
        <w:t xml:space="preserve">quality</w:t>
      </w:r>
      <w:r>
        <w:t xml:space="preserve"> </w:t>
      </w:r>
      <w:r>
        <w:t xml:space="preserve">reference</w:t>
      </w:r>
      <w:r>
        <w:t xml:space="preserve"> </w:t>
      </w:r>
      <w:r>
        <w:t xml:space="preserve">states</w:t>
      </w:r>
      <w:r>
        <w:t xml:space="preserve"> </w:t>
      </w:r>
      <w:r>
        <w:t xml:space="preserve">using</w:t>
      </w:r>
      <w:r>
        <w:t xml:space="preserve"> </w:t>
      </w:r>
      <w:r>
        <w:t xml:space="preserve">coarsened</w:t>
      </w:r>
      <w:r>
        <w:t xml:space="preserve"> </w:t>
      </w:r>
      <w:r>
        <w:t xml:space="preserve">exact</w:t>
      </w:r>
      <w:r>
        <w:t xml:space="preserve"> </w:t>
      </w:r>
      <w:r>
        <w:t xml:space="preserve">matching</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Using</w:t>
      </w:r>
      <w:r>
        <w:t xml:space="preserve"> </w:t>
      </w:r>
      <w:r>
        <w:t xml:space="preserve">this</w:t>
      </w:r>
      <w:r>
        <w:t xml:space="preserve"> </w:t>
      </w:r>
      <w:r>
        <w:t xml:space="preserve">dissimilarity</w:t>
      </w:r>
      <w:r>
        <w:t xml:space="preserve"> </w:t>
      </w:r>
      <w:r>
        <w:t xml:space="preserve">metric,</w:t>
      </w:r>
      <w:r>
        <w:t xml:space="preserve"> </w:t>
      </w:r>
      <w:r>
        <w:t xml:space="preserve">we</w:t>
      </w:r>
      <w:r>
        <w:t xml:space="preserve"> </w:t>
      </w:r>
      <w:r>
        <w:t xml:space="preserve">can</w:t>
      </w:r>
      <w:r>
        <w:t xml:space="preserve"> </w:t>
      </w:r>
      <w:r>
        <w:t xml:space="preserve">assess</w:t>
      </w:r>
      <w:r>
        <w:t xml:space="preserve"> </w:t>
      </w:r>
      <w:r>
        <w:t xml:space="preserve">how</w:t>
      </w:r>
      <w:r>
        <w:t xml:space="preserve"> </w:t>
      </w:r>
      <w:r>
        <w:t xml:space="preserve">far,</w:t>
      </w:r>
      <w:r>
        <w:t xml:space="preserve"> </w:t>
      </w:r>
      <w:r>
        <w:t xml:space="preserve">in</w:t>
      </w:r>
      <w:r>
        <w:t xml:space="preserve"> </w:t>
      </w:r>
      <w:r>
        <w:t xml:space="preserve">structural</w:t>
      </w:r>
      <w:r>
        <w:t xml:space="preserve"> </w:t>
      </w:r>
      <w:r>
        <w:t xml:space="preserve">and</w:t>
      </w:r>
      <w:r>
        <w:t xml:space="preserve"> </w:t>
      </w:r>
      <w:r>
        <w:t xml:space="preserve">functional</w:t>
      </w:r>
      <w:r>
        <w:t xml:space="preserve"> </w:t>
      </w:r>
      <w:r>
        <w:t xml:space="preserve">space,</w:t>
      </w:r>
      <w:r>
        <w:t xml:space="preserve"> </w:t>
      </w:r>
      <w:r>
        <w:t xml:space="preserve">every</w:t>
      </w:r>
      <w:r>
        <w:t xml:space="preserve"> </w:t>
      </w:r>
      <w:r>
        <w:t xml:space="preserve">forest</w:t>
      </w:r>
      <w:r>
        <w:t xml:space="preserve"> </w:t>
      </w:r>
      <w:r>
        <w:t xml:space="preserve">stand</w:t>
      </w:r>
      <w:r>
        <w:t xml:space="preserve"> </w:t>
      </w:r>
      <w:r>
        <w:t xml:space="preserve">across</w:t>
      </w:r>
      <w:r>
        <w:t xml:space="preserve"> </w:t>
      </w:r>
      <w:r>
        <w:t xml:space="preserve">Vancouver</w:t>
      </w:r>
      <w:r>
        <w:t xml:space="preserve"> </w:t>
      </w:r>
      <w:r>
        <w:t xml:space="preserve">Island</w:t>
      </w:r>
      <w:r>
        <w:t xml:space="preserve"> </w:t>
      </w:r>
      <w:r>
        <w:t xml:space="preserve">is</w:t>
      </w:r>
      <w:r>
        <w:t xml:space="preserve"> </w:t>
      </w:r>
      <w:r>
        <w:t xml:space="preserve">to</w:t>
      </w:r>
      <w:r>
        <w:t xml:space="preserve"> </w:t>
      </w:r>
      <w:r>
        <w:t xml:space="preserve">a</w:t>
      </w:r>
      <w:r>
        <w:t xml:space="preserve"> </w:t>
      </w:r>
      <w:r>
        <w:t xml:space="preserve">comparable</w:t>
      </w:r>
      <w:r>
        <w:t xml:space="preserve"> </w:t>
      </w:r>
      <w:r>
        <w:t xml:space="preserve">forest</w:t>
      </w:r>
      <w:r>
        <w:t xml:space="preserve"> </w:t>
      </w:r>
      <w:r>
        <w:t xml:space="preserve">found</w:t>
      </w:r>
      <w:r>
        <w:t xml:space="preserve"> </w:t>
      </w:r>
      <w:r>
        <w:t xml:space="preserve">in</w:t>
      </w:r>
      <w:r>
        <w:t xml:space="preserve"> </w:t>
      </w:r>
      <w:r>
        <w:t xml:space="preserve">the</w:t>
      </w:r>
      <w:r>
        <w:t xml:space="preserve"> </w:t>
      </w:r>
      <w:r>
        <w:t xml:space="preserve">oldest</w:t>
      </w:r>
      <w:r>
        <w:t xml:space="preserve"> </w:t>
      </w:r>
      <w:r>
        <w:t xml:space="preserve">and</w:t>
      </w:r>
      <w:r>
        <w:t xml:space="preserve"> </w:t>
      </w:r>
      <w:r>
        <w:t xml:space="preserve">largest</w:t>
      </w:r>
      <w:r>
        <w:t xml:space="preserve"> </w:t>
      </w:r>
      <w:r>
        <w:t xml:space="preserve">protected</w:t>
      </w:r>
      <w:r>
        <w:t xml:space="preserve"> </w:t>
      </w:r>
      <w:r>
        <w:t xml:space="preserve">area</w:t>
      </w:r>
      <w:r>
        <w:t xml:space="preserve"> </w:t>
      </w:r>
      <w:r>
        <w:t xml:space="preserve">on</w:t>
      </w:r>
      <w:r>
        <w:t xml:space="preserve"> </w:t>
      </w:r>
      <w:r>
        <w:t xml:space="preserve">the</w:t>
      </w:r>
      <w:r>
        <w:t xml:space="preserve"> </w:t>
      </w:r>
      <w:r>
        <w:t xml:space="preserve">island,</w:t>
      </w:r>
      <w:r>
        <w:t xml:space="preserve"> </w:t>
      </w:r>
      <w:r>
        <w:t xml:space="preserve">Strathcona</w:t>
      </w:r>
      <w:r>
        <w:t xml:space="preserve"> </w:t>
      </w:r>
      <w:r>
        <w:t xml:space="preserve">Provincial</w:t>
      </w:r>
      <w:r>
        <w:t xml:space="preserve"> </w:t>
      </w:r>
      <w:r>
        <w:t xml:space="preserve">Park.</w:t>
      </w:r>
      <w:r>
        <w:t xml:space="preserve"> </w:t>
      </w:r>
      <w:r>
        <w:t xml:space="preserve">We</w:t>
      </w:r>
      <w:r>
        <w:t xml:space="preserve"> </w:t>
      </w:r>
      <w:r>
        <w:t xml:space="preserve">further</w:t>
      </w:r>
      <w:r>
        <w:t xml:space="preserve"> </w:t>
      </w:r>
      <w:r>
        <w:t xml:space="preserve">assess</w:t>
      </w:r>
      <w:r>
        <w:t xml:space="preserve"> </w:t>
      </w:r>
      <w:r>
        <w:t xml:space="preserve">how</w:t>
      </w:r>
      <w:r>
        <w:t xml:space="preserve"> </w:t>
      </w:r>
      <w:r>
        <w:t xml:space="preserve">cumulative</w:t>
      </w:r>
      <w:r>
        <w:t xml:space="preserve"> </w:t>
      </w:r>
      <w:r>
        <w:t xml:space="preserve">and</w:t>
      </w:r>
      <w:r>
        <w:t xml:space="preserve"> </w:t>
      </w:r>
      <w:r>
        <w:t xml:space="preserve">individual</w:t>
      </w:r>
      <w:r>
        <w:t xml:space="preserve"> </w:t>
      </w:r>
      <w:r>
        <w:t xml:space="preserve">anthropogenic</w:t>
      </w:r>
      <w:r>
        <w:t xml:space="preserve"> </w:t>
      </w:r>
      <w:r>
        <w:t xml:space="preserve">pressures</w:t>
      </w:r>
      <w:r>
        <w:t xml:space="preserve"> </w:t>
      </w:r>
      <w:r>
        <w:t xml:space="preserve">are</w:t>
      </w:r>
      <w:r>
        <w:t xml:space="preserve"> </w:t>
      </w:r>
      <w:r>
        <w:t xml:space="preserve">influencing</w:t>
      </w:r>
      <w:r>
        <w:t xml:space="preserve"> </w:t>
      </w:r>
      <w:r>
        <w:t xml:space="preserve">ecological</w:t>
      </w:r>
      <w:r>
        <w:t xml:space="preserve"> </w:t>
      </w:r>
      <w:r>
        <w:t xml:space="preserve">dissimilarity.</w:t>
      </w:r>
      <w:r>
        <w:t xml:space="preserve"> </w:t>
      </w:r>
      <w:r>
        <w:t xml:space="preserve">We</w:t>
      </w:r>
      <w:r>
        <w:t xml:space="preserve"> </w:t>
      </w:r>
      <w:r>
        <w:t xml:space="preserve">found</w:t>
      </w:r>
      <w:r>
        <w:t xml:space="preserve"> </w:t>
      </w:r>
      <w:r>
        <w:t xml:space="preserve">that</w:t>
      </w:r>
      <w:r>
        <w:t xml:space="preserve"> </w:t>
      </w:r>
      <w:r>
        <w:t xml:space="preserve">cumulative</w:t>
      </w:r>
      <w:r>
        <w:t xml:space="preserve"> </w:t>
      </w:r>
      <w:r>
        <w:t xml:space="preserve">anthropogenic</w:t>
      </w:r>
      <w:r>
        <w:t xml:space="preserve"> </w:t>
      </w:r>
      <w:r>
        <w:t xml:space="preserve">pressures</w:t>
      </w:r>
      <w:r>
        <w:t xml:space="preserve"> </w:t>
      </w:r>
      <w:r>
        <w:t xml:space="preserve">influence</w:t>
      </w:r>
      <w:r>
        <w:t xml:space="preserve"> </w:t>
      </w:r>
      <w:r>
        <w:t xml:space="preserve">the</w:t>
      </w:r>
      <w:r>
        <w:t xml:space="preserve"> </w:t>
      </w:r>
      <w:r>
        <w:t xml:space="preserve">vertical</w:t>
      </w:r>
      <w:r>
        <w:t xml:space="preserve"> </w:t>
      </w:r>
      <w:r>
        <w:t xml:space="preserve">layering</w:t>
      </w:r>
      <w:r>
        <w:t xml:space="preserve"> </w:t>
      </w:r>
      <w:r>
        <w:t xml:space="preserve">of</w:t>
      </w:r>
      <w:r>
        <w:t xml:space="preserve"> </w:t>
      </w:r>
      <w:r>
        <w:t xml:space="preserve">forests</w:t>
      </w:r>
      <w:r>
        <w:t xml:space="preserve"> </w:t>
      </w:r>
      <w:r>
        <w:t xml:space="preserve">(canopy</w:t>
      </w:r>
      <w:r>
        <w:t xml:space="preserve"> </w:t>
      </w:r>
      <w:r>
        <w:t xml:space="preserve">height</w:t>
      </w:r>
      <w:r>
        <w:t xml:space="preserve"> </w:t>
      </w:r>
      <w:r>
        <w:t xml:space="preserve">and</w:t>
      </w:r>
      <w:r>
        <w:t xml:space="preserve"> </w:t>
      </w:r>
      <w:r>
        <w:t xml:space="preserve">structural</w:t>
      </w:r>
      <w:r>
        <w:t xml:space="preserve"> </w:t>
      </w:r>
      <w:r>
        <w:t xml:space="preserve">complexity),</w:t>
      </w:r>
      <w:r>
        <w:t xml:space="preserve"> </w:t>
      </w:r>
      <w:r>
        <w:t xml:space="preserve">but</w:t>
      </w:r>
      <w:r>
        <w:t xml:space="preserve"> </w:t>
      </w:r>
      <w:r>
        <w:t xml:space="preserve">do</w:t>
      </w:r>
      <w:r>
        <w:t xml:space="preserve"> </w:t>
      </w:r>
      <w:r>
        <w:t xml:space="preserve">not</w:t>
      </w:r>
      <w:r>
        <w:t xml:space="preserve"> </w:t>
      </w:r>
      <w:r>
        <w:t xml:space="preserve">influence</w:t>
      </w:r>
      <w:r>
        <w:t xml:space="preserve"> </w:t>
      </w:r>
      <w:r>
        <w:t xml:space="preserve">forest</w:t>
      </w:r>
      <w:r>
        <w:t xml:space="preserve"> </w:t>
      </w:r>
      <w:r>
        <w:t xml:space="preserve">energy</w:t>
      </w:r>
      <w:r>
        <w:t xml:space="preserve"> </w:t>
      </w:r>
      <w:r>
        <w:t xml:space="preserve">availability</w:t>
      </w:r>
      <w:r>
        <w:t xml:space="preserve"> </w:t>
      </w:r>
      <w:r>
        <w:t xml:space="preserve">or</w:t>
      </w:r>
      <w:r>
        <w:t xml:space="preserve"> </w:t>
      </w:r>
      <w:r>
        <w:t xml:space="preserve">energy</w:t>
      </w:r>
      <w:r>
        <w:t xml:space="preserve"> </w:t>
      </w:r>
      <w:r>
        <w:t xml:space="preserve">seasonality.</w:t>
      </w:r>
      <w:r>
        <w:t xml:space="preserve"> </w:t>
      </w:r>
      <w:r>
        <w:t xml:space="preserve">Further,</w:t>
      </w:r>
      <w:r>
        <w:t xml:space="preserve"> </w:t>
      </w:r>
      <w:r>
        <w:t xml:space="preserve">individual</w:t>
      </w:r>
      <w:r>
        <w:t xml:space="preserve"> </w:t>
      </w:r>
      <w:r>
        <w:t xml:space="preserve">anthropogenic</w:t>
      </w:r>
      <w:r>
        <w:t xml:space="preserve"> </w:t>
      </w:r>
      <w:r>
        <w:t xml:space="preserve">pressures</w:t>
      </w:r>
      <w:r>
        <w:t xml:space="preserve"> </w:t>
      </w:r>
      <w:r>
        <w:t xml:space="preserve">increase</w:t>
      </w:r>
      <w:r>
        <w:t xml:space="preserve"> </w:t>
      </w:r>
      <w:r>
        <w:t xml:space="preserve">dissimilarity</w:t>
      </w:r>
      <w:r>
        <w:t xml:space="preserve"> </w:t>
      </w:r>
      <w:r>
        <w:t xml:space="preserve">for</w:t>
      </w:r>
      <w:r>
        <w:t xml:space="preserve"> </w:t>
      </w:r>
      <w:r>
        <w:t xml:space="preserve">the</w:t>
      </w:r>
      <w:r>
        <w:t xml:space="preserve"> </w:t>
      </w:r>
      <w:r>
        <w:t xml:space="preserve">majority</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and</w:t>
      </w:r>
      <w:r>
        <w:t xml:space="preserve"> </w:t>
      </w:r>
      <w:r>
        <w:t xml:space="preserve">population</w:t>
      </w:r>
      <w:r>
        <w:t xml:space="preserve"> </w:t>
      </w:r>
      <w:r>
        <w:t xml:space="preserve">density</w:t>
      </w:r>
      <w:r>
        <w:t xml:space="preserve"> </w:t>
      </w:r>
      <w:r>
        <w:t xml:space="preserve">reduces</w:t>
      </w:r>
      <w:r>
        <w:t xml:space="preserve"> </w:t>
      </w:r>
      <w:r>
        <w:t xml:space="preserve">similarity</w:t>
      </w:r>
      <w:r>
        <w:t xml:space="preserve"> </w:t>
      </w:r>
      <w:r>
        <w:t xml:space="preserve">to</w:t>
      </w:r>
      <w:r>
        <w:t xml:space="preserve"> </w:t>
      </w:r>
      <w:r>
        <w:t xml:space="preserve">highly</w:t>
      </w:r>
      <w:r>
        <w:t xml:space="preserve"> </w:t>
      </w:r>
      <w:r>
        <w:t xml:space="preserve">seasonal</w:t>
      </w:r>
      <w:r>
        <w:t xml:space="preserve"> </w:t>
      </w:r>
      <w:r>
        <w:t xml:space="preserve">forests.</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applying</w:t>
      </w:r>
      <w:r>
        <w:t xml:space="preserve"> </w:t>
      </w:r>
      <w:r>
        <w:t xml:space="preserve">strict</w:t>
      </w:r>
      <w:r>
        <w:t xml:space="preserve"> </w:t>
      </w:r>
      <w:r>
        <w:t xml:space="preserve">matching</w:t>
      </w:r>
      <w:r>
        <w:t xml:space="preserve"> </w:t>
      </w:r>
      <w:r>
        <w:t xml:space="preserve">procedures</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assess</w:t>
      </w:r>
      <w:r>
        <w:t xml:space="preserve"> </w:t>
      </w:r>
      <w:r>
        <w:t xml:space="preserve">ecosystem</w:t>
      </w:r>
      <w:r>
        <w:t xml:space="preserve"> </w:t>
      </w:r>
      <w:r>
        <w:t xml:space="preserve">similarity,</w:t>
      </w:r>
      <w:r>
        <w:t xml:space="preserve"> </w:t>
      </w:r>
      <w:r>
        <w:t xml:space="preserve">which</w:t>
      </w:r>
      <w:r>
        <w:t xml:space="preserve"> </w:t>
      </w:r>
      <w:r>
        <w:t xml:space="preserve">could</w:t>
      </w:r>
      <w:r>
        <w:t xml:space="preserve"> </w:t>
      </w:r>
      <w:r>
        <w:t xml:space="preserve">be</w:t>
      </w:r>
      <w:r>
        <w:t xml:space="preserve"> </w:t>
      </w:r>
      <w:r>
        <w:t xml:space="preserve">useful</w:t>
      </w:r>
      <w:r>
        <w:t xml:space="preserve"> </w:t>
      </w:r>
      <w:r>
        <w:t xml:space="preserve">when</w:t>
      </w:r>
      <w:r>
        <w:t xml:space="preserve"> </w:t>
      </w:r>
      <w:r>
        <w:t xml:space="preserve">examining</w:t>
      </w:r>
      <w:r>
        <w:t xml:space="preserve"> </w:t>
      </w:r>
      <w:r>
        <w:t xml:space="preserve">locations</w:t>
      </w:r>
      <w:r>
        <w:t xml:space="preserve"> </w:t>
      </w:r>
      <w:r>
        <w:t xml:space="preserve">of</w:t>
      </w:r>
      <w:r>
        <w:t xml:space="preserve"> </w:t>
      </w:r>
      <w:r>
        <w:t xml:space="preserve">rare</w:t>
      </w:r>
      <w:r>
        <w:t xml:space="preserve"> </w:t>
      </w:r>
      <w:r>
        <w:t xml:space="preserve">ecosystems</w:t>
      </w:r>
      <w:r>
        <w:t xml:space="preserve"> </w:t>
      </w:r>
      <w:r>
        <w:t xml:space="preserve">under</w:t>
      </w:r>
      <w:r>
        <w:t xml:space="preserve"> </w:t>
      </w:r>
      <w:r>
        <w:t xml:space="preserve">large</w:t>
      </w:r>
      <w:r>
        <w:t xml:space="preserve"> </w:t>
      </w:r>
      <w:r>
        <w:t xml:space="preserve">amounts</w:t>
      </w:r>
      <w:r>
        <w:t xml:space="preserve"> </w:t>
      </w:r>
      <w:r>
        <w:t xml:space="preserve">of</w:t>
      </w:r>
      <w:r>
        <w:t xml:space="preserve"> </w:t>
      </w:r>
      <w:r>
        <w:t xml:space="preserve">anthropogenic</w:t>
      </w:r>
      <w:r>
        <w:t xml:space="preserve"> </w:t>
      </w:r>
      <w:r>
        <w:t xml:space="preserve">pressure.</w:t>
      </w:r>
      <w:r>
        <w:t xml:space="preserve"> </w:t>
      </w:r>
      <w:r>
        <w:t xml:space="preserve">Further,</w:t>
      </w:r>
      <w:r>
        <w:t xml:space="preserve"> </w:t>
      </w:r>
      <w:r>
        <w:t xml:space="preserve">we</w:t>
      </w:r>
      <w:r>
        <w:t xml:space="preserve"> </w:t>
      </w:r>
      <w:r>
        <w:t xml:space="preserve">demonstrate</w:t>
      </w:r>
      <w:r>
        <w:t xml:space="preserve"> </w:t>
      </w:r>
      <w:r>
        <w:t xml:space="preserve">that</w:t>
      </w:r>
      <w:r>
        <w:t xml:space="preserve"> </w:t>
      </w:r>
      <w:r>
        <w:t xml:space="preserve">vertical</w:t>
      </w:r>
      <w:r>
        <w:t xml:space="preserve"> </w:t>
      </w:r>
      <w:r>
        <w:t xml:space="preserve">forest</w:t>
      </w:r>
      <w:r>
        <w:t xml:space="preserve"> </w:t>
      </w:r>
      <w:r>
        <w:t xml:space="preserve">structural</w:t>
      </w:r>
      <w:r>
        <w:t xml:space="preserve"> </w:t>
      </w:r>
      <w:r>
        <w:t xml:space="preserve">attributes</w:t>
      </w:r>
      <w:r>
        <w:t xml:space="preserve"> </w:t>
      </w:r>
      <w:r>
        <w:t xml:space="preserve">which</w:t>
      </w:r>
      <w:r>
        <w:t xml:space="preserve"> </w:t>
      </w:r>
      <w:r>
        <w:t xml:space="preserve">area</w:t>
      </w:r>
      <w:r>
        <w:t xml:space="preserve"> </w:t>
      </w:r>
      <w:r>
        <w:t xml:space="preserve">strongly</w:t>
      </w:r>
      <w:r>
        <w:t xml:space="preserve"> </w:t>
      </w:r>
      <w:r>
        <w:t xml:space="preserve">related</w:t>
      </w:r>
      <w:r>
        <w:t xml:space="preserve"> </w:t>
      </w:r>
      <w:r>
        <w:t xml:space="preserve">to</w:t>
      </w:r>
      <w:r>
        <w:t xml:space="preserve"> </w:t>
      </w:r>
      <w:r>
        <w:t xml:space="preserve">biodiversity</w:t>
      </w:r>
      <w:r>
        <w:t xml:space="preserve"> </w:t>
      </w:r>
      <w:r>
        <w:t xml:space="preserve">via</w:t>
      </w:r>
      <w:r>
        <w:t xml:space="preserve"> </w:t>
      </w:r>
      <w:r>
        <w:t xml:space="preserve">niche</w:t>
      </w:r>
      <w:r>
        <w:t xml:space="preserve"> </w:t>
      </w:r>
      <w:r>
        <w:t xml:space="preserve">availability</w:t>
      </w:r>
      <w:r>
        <w:t xml:space="preserve"> </w:t>
      </w:r>
      <w:r>
        <w:t xml:space="preserve">and</w:t>
      </w:r>
      <w:r>
        <w:t xml:space="preserve"> </w:t>
      </w:r>
      <w:r>
        <w:t xml:space="preserve">resource</w:t>
      </w:r>
      <w:r>
        <w:t xml:space="preserve"> </w:t>
      </w:r>
      <w:r>
        <w:t xml:space="preserve">partitioning</w:t>
      </w:r>
      <w:r>
        <w:t xml:space="preserve"> </w:t>
      </w:r>
      <w:r>
        <w:t xml:space="preserve">are</w:t>
      </w:r>
      <w:r>
        <w:t xml:space="preserve"> </w:t>
      </w:r>
      <w:r>
        <w:t xml:space="preserve">influenced</w:t>
      </w:r>
      <w:r>
        <w:t xml:space="preserve"> </w:t>
      </w:r>
      <w:r>
        <w:t xml:space="preserve">negatively</w:t>
      </w:r>
      <w:r>
        <w:t xml:space="preserve"> </w:t>
      </w:r>
      <w:r>
        <w:t xml:space="preserve">by</w:t>
      </w:r>
      <w:r>
        <w:t xml:space="preserve"> </w:t>
      </w:r>
      <w:r>
        <w:t xml:space="preserve">anthropogenic</w:t>
      </w:r>
      <w:r>
        <w:t xml:space="preserve"> </w:t>
      </w:r>
      <w:r>
        <w:t xml:space="preserve">pressures.</w:t>
      </w:r>
    </w:p>
    <w:bookmarkStart w:id="20" w:name="introduction"/>
    <w:p>
      <w:pPr>
        <w:pStyle w:val="Heading1"/>
      </w:pPr>
      <w:r>
        <w:t xml:space="preserve">1. Introduction</w:t>
      </w:r>
    </w:p>
    <w:p>
      <w:pPr>
        <w:pStyle w:val="FirstParagraph"/>
      </w:pPr>
      <w:r>
        <w:t xml:space="preserve">A global biodiversity crisis is currently underway, driven by anthropogenic changes to natural habitats</w:t>
      </w:r>
      <w:r>
        <w:t xml:space="preserve"> </w:t>
      </w:r>
      <w:r>
        <w:t xml:space="preserve">(Dirzo and Raven, 2003)</w:t>
      </w:r>
      <w:r>
        <w:t xml:space="preserve">. Pressures such as climate change, overexploitation, and invasive species are leading to species extinctions</w:t>
      </w:r>
      <w:r>
        <w:t xml:space="preserve"> </w:t>
      </w:r>
      <w:r>
        <w:t xml:space="preserve">(Thomas et al., 2004; Urban, 2015)</w:t>
      </w:r>
      <w:r>
        <w:t xml:space="preserve"> </w:t>
      </w:r>
      <w:r>
        <w:t xml:space="preserve">and the homogenization of biological communities</w:t>
      </w:r>
      <w:r>
        <w:t xml:space="preserve"> </w:t>
      </w:r>
      <w:r>
        <w:t xml:space="preserve">(McGill et al., 2015)</w:t>
      </w:r>
      <w:r>
        <w:t xml:space="preserve">. The Kunming-Montreal Global Biodiversity Framework (GBF) was adopted in December 2022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and achieving no loss of high biodiversity importance areas, including high ecological integrity ecosystems</w:t>
      </w:r>
      <w:r>
        <w:t xml:space="preserve"> </w:t>
      </w:r>
      <w:r>
        <w:t xml:space="preserve">(Convention on Biological Diversity, 2023)</w:t>
      </w:r>
      <w:r>
        <w:t xml:space="preserve">. In the terrestrial environment, forest biomes have been shown to harbour the largest amount of biodiversity</w:t>
      </w:r>
      <w:r>
        <w:t xml:space="preserve"> </w:t>
      </w:r>
      <w:r>
        <w:t xml:space="preserve">(Cardinale et al., 2012; Myers, 1988; Pimm and Raven, 2000)</w:t>
      </w:r>
      <w:r>
        <w:t xml:space="preserve">, and provide key ecosystem services</w:t>
      </w:r>
      <w:r>
        <w:t xml:space="preserve"> </w:t>
      </w:r>
      <w:r>
        <w:t xml:space="preserve">(Thompson et al., 2009)</w:t>
      </w:r>
      <w:r>
        <w:t xml:space="preserve">. To provide these services, it is integral that these forest ecosystems are in good ecological condition, as represented by natural or near-natural levels of forest structure, function, and composition, often referred to as having high ecological integrity</w:t>
      </w:r>
      <w:r>
        <w:t xml:space="preserve"> </w:t>
      </w:r>
      <w:r>
        <w:t xml:space="preserve">(Marín et al., 2021)</w:t>
      </w:r>
      <w:r>
        <w:t xml:space="preserve">.</w:t>
      </w:r>
    </w:p>
    <w:p>
      <w:pPr>
        <w:pStyle w:val="BodyText"/>
      </w:pPr>
      <w:r>
        <w:t xml:space="preserve">While understanding forest condition is a key aspect of understanding biodiversity and the provision of ecosystem services due to their inherent linkages</w:t>
      </w:r>
      <w:r>
        <w:t xml:space="preserve"> </w:t>
      </w:r>
      <w:r>
        <w:t xml:space="preserve">(Cardinale et al., 2012; Marín et al., 2021)</w:t>
      </w:r>
      <w:r>
        <w:t xml:space="preserve">,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w:t>
      </w:r>
      <w:r>
        <w:t xml:space="preserve"> </w:t>
      </w:r>
      <w:r>
        <w:t xml:space="preserve">(Pereira et al., 2013; Radeloff et al., 2024; Skidmore et al., 2021)</w:t>
      </w:r>
      <w:r>
        <w:t xml:space="preserve">. Advances in lidar technologies and modelling methods are enabling the generation of wall-to-wall estimates of forest stand structure for across entire countries</w:t>
      </w:r>
      <w:r>
        <w:t xml:space="preserve"> </w:t>
      </w:r>
      <w:r>
        <w:t xml:space="preserve">(Becker et al., 2023; Matasci et al., 2018a; Matasci et al., 2018b)</w:t>
      </w:r>
      <w:r>
        <w:t xml:space="preserve">, which serve as a more detailed indicator of ecosystem structure than the often previously used landscape fragmentation metrics</w:t>
      </w:r>
      <w:r>
        <w:t xml:space="preserve"> </w:t>
      </w:r>
      <w:r>
        <w:t xml:space="preserve">(Andrew et al., 2012)</w:t>
      </w:r>
      <w:r>
        <w:t xml:space="preserve">. Productivity metrics have been employed as a proxy for ecosystem function for many years</w:t>
      </w:r>
      <w:r>
        <w:t xml:space="preserve"> </w:t>
      </w:r>
      <w:r>
        <w:t xml:space="preserve">(Pettorelli et al., 2018, 2005)</w:t>
      </w:r>
      <w:r>
        <w:t xml:space="preserve">, with new Landsat-derived datasets providing integrative annual estimates of energy availability at a 30 m spatial resolution</w:t>
      </w:r>
      <w:r>
        <w:t xml:space="preserve"> </w:t>
      </w:r>
      <w:r>
        <w:t xml:space="preserve">(Radeloff et al., 2024; Radeloff et al., 2019; Razenkova et al., n.d.)</w:t>
      </w:r>
      <w:r>
        <w:t xml:space="preserve">. Remote sensing is quickly providing access to a vast array of datasets suitable for monitoring the various facets of biodiversity and ecological condition</w:t>
      </w:r>
      <w:r>
        <w:t xml:space="preserve"> </w:t>
      </w:r>
      <w:r>
        <w:t xml:space="preserve">(Noss, 1990; Pereira et al., 2013; Skidmore et al., 2021)</w:t>
      </w:r>
      <w:r>
        <w:t xml:space="preserve">. The integration of these datasets with information pertaining to the location of known high-ecological-integrity forests enables researchers and managers to identify high-quality forest reference states across entire jurisdictions, even in the presence of anthropogenic pressures.</w:t>
      </w:r>
    </w:p>
    <w:p>
      <w:pPr>
        <w:pStyle w:val="BodyText"/>
      </w:pPr>
      <w:r>
        <w:t xml:space="preserve">Ecological reference states represent baseline conditions of ecosystems, serving as a benchmark for assessing ecological health and guiding restoration efforts</w:t>
      </w:r>
      <w:r>
        <w:t xml:space="preserve"> </w:t>
      </w:r>
      <w:r>
        <w:t xml:space="preserve">(Nielsen et al., 2007)</w:t>
      </w:r>
      <w:r>
        <w:t xml:space="preserve">. The application of counterfactual thinking, which entails considering the potenital state of an ecosystem in the absence of anthropogenic pressures</w:t>
      </w:r>
      <w:r>
        <w:t xml:space="preserve"> </w:t>
      </w:r>
      <w:r>
        <w:t xml:space="preserve">(Ferraro, 2009)</w:t>
      </w:r>
      <w:r>
        <w:t xml:space="preserve"> </w:t>
      </w:r>
      <w:r>
        <w:t xml:space="preserve">can be instrumental for mapping high-integrity forests. Approaches such as coarsened exact matching</w:t>
      </w:r>
      <w:r>
        <w:t xml:space="preserve"> </w:t>
      </w:r>
      <w:r>
        <w:t xml:space="preserve">(Iacus et al., 2012)</w:t>
      </w:r>
      <w:r>
        <w:t xml:space="preserve">,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has a large depth of temporal data to compare to, however, it is not always guaranteed that an ecosystem can be restored to these historical norms due to changing climates</w:t>
      </w:r>
      <w:r>
        <w:t xml:space="preserve"> </w:t>
      </w:r>
      <w:r>
        <w:t xml:space="preserve">(Balaguer et al., 2014; McNellie et al., 2020)</w:t>
      </w:r>
      <w:r>
        <w:t xml:space="preserve">. Other proposed methods for delineating baseline conditions include protected areas</w:t>
      </w:r>
      <w:r>
        <w:t xml:space="preserve"> </w:t>
      </w:r>
      <w:r>
        <w:t xml:space="preserve">(Arcese and Sinclair, 1997)</w:t>
      </w:r>
      <w:r>
        <w:t xml:space="preserve">, and empirical estimates of the reference state generated by modelling outcomes (oftentimes species abundances and occurrence) in the absence of anthropogenic disturbance</w:t>
      </w:r>
      <w:r>
        <w:t xml:space="preserve"> </w:t>
      </w:r>
      <w:r>
        <w:t xml:space="preserve">(Nielsen et al., 2007)</w:t>
      </w:r>
      <w:r>
        <w:t xml:space="preserve">.</w:t>
      </w:r>
    </w:p>
    <w:p>
      <w:pPr>
        <w:pStyle w:val="BodyText"/>
      </w:pPr>
      <w:r>
        <w:t xml:space="preserve">Protected areas, specifically designed for biodiversity conservation, are frequently faced with lower levels anthropogenic pressure as a result of biases in their placement</w:t>
      </w:r>
      <w:r>
        <w:t xml:space="preserve"> </w:t>
      </w:r>
      <w:r>
        <w:t xml:space="preserve">(Joppa and Pfaff, 2009; Muise et al., 2022)</w:t>
      </w:r>
      <w:r>
        <w:t xml:space="preserve">. In forested ecosystems, over time this leads to undisturbed high-integrity forests remaining within protected areas due to their natural disturbance regimes and a lack of anthropogenic pressures</w:t>
      </w:r>
      <w:r>
        <w:t xml:space="preserve"> </w:t>
      </w:r>
      <w:r>
        <w:t xml:space="preserve">(Brumelis et al., 2011)</w:t>
      </w:r>
      <w:r>
        <w:t xml:space="preserve">. These high-integrity forests, situated within protected areas, can serve as effective ecological baselines</w:t>
      </w:r>
      <w:r>
        <w:t xml:space="preserve"> </w:t>
      </w:r>
      <w:r>
        <w:t xml:space="preserve">(Arcese and Sinclair, 1997)</w:t>
      </w:r>
      <w:r>
        <w:t xml:space="preserve">. When suitably matched to unprotected areas, they can be used as a reference state to assess the differences between all forests and their high-integrity counterparts</w:t>
      </w:r>
      <w:r>
        <w:t xml:space="preserve"> </w:t>
      </w:r>
      <w:r>
        <w:t xml:space="preserve">(Ferraro, 2009)</w:t>
      </w:r>
      <w:r>
        <w:t xml:space="preserve">. Further, protected areas and undisturbed ecosystems such as intact forest landscapes have been shown to have increased structural densities when compared to other ecosystems</w:t>
      </w:r>
      <w:r>
        <w:t xml:space="preserve"> </w:t>
      </w:r>
      <w:r>
        <w:t xml:space="preserve">(Li et al., 2023; Muise et al., 2022)</w:t>
      </w:r>
      <w:r>
        <w:t xml:space="preserve">.</w:t>
      </w:r>
    </w:p>
    <w:p>
      <w:pPr>
        <w:pStyle w:val="BodyText"/>
      </w:pPr>
      <w:r>
        <w:t xml:space="preserve">Anthropogenic pressure such as increased road densities</w:t>
      </w:r>
      <w:r>
        <w:t xml:space="preserve"> </w:t>
      </w:r>
      <w:r>
        <w:t xml:space="preserve">(Nielsen et al., 2007)</w:t>
      </w:r>
      <w:r>
        <w:t xml:space="preserve">, harvesting and fossil fuel exploration activities leading to edge effects</w:t>
      </w:r>
      <w:r>
        <w:t xml:space="preserve"> </w:t>
      </w:r>
      <w:r>
        <w:t xml:space="preserve">(Bourgoin et al., 2024; Harfoot et al., 2018)</w:t>
      </w:r>
      <w:r>
        <w:t xml:space="preserve">, and other human-induced disturbances</w:t>
      </w:r>
      <w:r>
        <w:t xml:space="preserve"> </w:t>
      </w:r>
      <w:r>
        <w:t xml:space="preserve">(Liira et al., 2007)</w:t>
      </w:r>
      <w:r>
        <w:t xml:space="preserve"> </w:t>
      </w:r>
      <w:r>
        <w:t xml:space="preserve">have been shown to influence forest structure. Novel datasets such as the Forest Structural Condition Index have been developed which integrate both structure and anthropogenic pressure into an index which identifies ecosystems of high conservation value, with high structural complexity and low anthropogenic pressure</w:t>
      </w:r>
      <w:r>
        <w:t xml:space="preserve"> </w:t>
      </w:r>
      <w:r>
        <w:t xml:space="preserve">(Hansen et al., 2019)</w:t>
      </w:r>
      <w:r>
        <w:t xml:space="preserve">. The impacts of anthropocentric pressure on forest functioning and energy availability is less frequently assessed.</w:t>
      </w:r>
      <w:r>
        <w:t xml:space="preserve"> </w:t>
      </w:r>
      <w:r>
        <w:t xml:space="preserve">Hedwall et al. (2019)</w:t>
      </w:r>
      <w:r>
        <w:t xml:space="preserve"> </w:t>
      </w:r>
      <w:r>
        <w:t xml:space="preserve">assessed plant community shifts under anthropogenic pressures in the boreal forests of Sweden, and hypothesized that changed communities may affect forest functioning.</w:t>
      </w:r>
      <w:r>
        <w:t xml:space="preserve"> </w:t>
      </w:r>
      <w:r>
        <w:t xml:space="preserve">Grantham et al. (2020)</w:t>
      </w:r>
      <w:r>
        <w:t xml:space="preserve"> </w:t>
      </w:r>
      <w:r>
        <w:t xml:space="preserve">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pPr>
        <w:pStyle w:val="BodyText"/>
      </w:pPr>
      <w:r>
        <w:t xml:space="preserve">We proposed a novel, data-driven, approach to identify high-integrity forests based on various satellite-derived metrics of ecosystem condition, and calculate the degree of structural and functional similarity for unprotected areas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w:t>
      </w:r>
      <w:r>
        <w:t xml:space="preserve"> </w:t>
      </w:r>
      <w:r>
        <w:t xml:space="preserve">(Mahony et al., 2017)</w:t>
      </w:r>
      <w:r>
        <w:t xml:space="preserve"> </w:t>
      </w:r>
      <w:r>
        <w:t xml:space="preserve">alongside human footprint layers developed by</w:t>
      </w:r>
      <w:r>
        <w:t xml:space="preserve"> </w:t>
      </w:r>
      <w:r>
        <w:t xml:space="preserve">Hirsh-Pearson et al. (2022)</w:t>
      </w:r>
      <w:r>
        <w:t xml:space="preserve"> </w:t>
      </w:r>
      <w:r>
        <w:t xml:space="preserve">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bookmarkEnd w:id="20"/>
    <w:bookmarkStart w:id="46" w:name="methods"/>
    <w:p>
      <w:pPr>
        <w:pStyle w:val="Heading1"/>
      </w:pPr>
      <w:r>
        <w:t xml:space="preserve">2. Methods</w:t>
      </w:r>
    </w:p>
    <w:bookmarkStart w:id="26" w:name="study-area"/>
    <w:p>
      <w:pPr>
        <w:pStyle w:val="Heading2"/>
      </w:pPr>
      <w:r>
        <w:t xml:space="preserve">2.1 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British Columbia generally has at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w:t>
      </w:r>
      <w:r>
        <w:t xml:space="preserve"> </w:t>
      </w:r>
      <w:r>
        <w:t xml:space="preserve">(Daniels and Gray, 2006)</w:t>
      </w:r>
      <w:r>
        <w:t xml:space="preserve">.</w:t>
      </w:r>
    </w:p>
    <w:bookmarkStart w:id="25" w:name="cell-fig-study"/>
    <w:tbl>
      <w:tblPr>
        <w:tblStyle w:val="Table"/>
        <w:tblW w:type="pct" w:w="5000"/>
        <w:tblLayout w:type="fixed"/>
        <w:tblLook w:firstRow="0" w:lastRow="0" w:firstColumn="0" w:lastColumn="0" w:noHBand="0" w:noVBand="0" w:val="0000"/>
      </w:tblPr>
      <w:tblGrid>
        <w:gridCol w:w="7920"/>
      </w:tblGrid>
      <w:tr>
        <w:tc>
          <w:tcPr/>
          <w:bookmarkStart w:id="24" w:name="fig-study"/>
          <w:p>
            <w:pPr>
              <w:pStyle w:val="Compact"/>
              <w:jc w:val="center"/>
            </w:pPr>
            <w:r>
              <w:drawing>
                <wp:inline>
                  <wp:extent cx="5504749" cy="5504749"/>
                  <wp:effectExtent b="0" l="0" r="0" t="0"/>
                  <wp:docPr descr="" title="" id="22" name="Picture"/>
                  <a:graphic>
                    <a:graphicData uri="http://schemas.openxmlformats.org/drawingml/2006/picture">
                      <pic:pic>
                        <pic:nvPicPr>
                          <pic:cNvPr descr="strathcona/figures/study_area.png" id="23" name="Picture"/>
                          <pic:cNvPicPr>
                            <a:picLocks noChangeArrowheads="1" noChangeAspect="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4"/>
        </w:tc>
      </w:tr>
    </w:tbl>
    <w:bookmarkEnd w:id="25"/>
    <w:bookmarkEnd w:id="26"/>
    <w:bookmarkStart w:id="37" w:name="data"/>
    <w:p>
      <w:pPr>
        <w:pStyle w:val="Heading2"/>
      </w:pPr>
      <w:r>
        <w:t xml:space="preserve">2.2 Data</w:t>
      </w:r>
    </w:p>
    <w:bookmarkStart w:id="27" w:name="reference-state"/>
    <w:p>
      <w:pPr>
        <w:pStyle w:val="Heading3"/>
      </w:pPr>
      <w:r>
        <w:t xml:space="preserve">2.2.1 Reference State</w:t>
      </w:r>
    </w:p>
    <w:p>
      <w:pPr>
        <w:pStyle w:val="FirstParagraph"/>
      </w:pPr>
      <w:r>
        <w:t xml:space="preserve">We defined our reference state as the forested area of Strathcona Park. We chose Strathcona Park as a temporal and protected area reference state, as the oldest and largest (2480 km</w:t>
      </w:r>
      <w:r>
        <w:rPr>
          <w:vertAlign w:val="superscript"/>
        </w:rPr>
        <w:t xml:space="preserve">2</w:t>
      </w:r>
      <w:r>
        <w:t xml:space="preserve">) protected area in British Columbia. Strathcona Park was established in 1911, and 80% of the park is preserved as wilderness area and designated as Nature Conservancy Areas under the</w:t>
      </w:r>
      <w:r>
        <w:t xml:space="preserve"> </w:t>
      </w:r>
      <w:r>
        <w:rPr>
          <w:i/>
          <w:iCs/>
        </w:rPr>
        <w:t xml:space="preserve">Park Act</w:t>
      </w:r>
      <w:r>
        <w:t xml:space="preserve"> </w:t>
      </w:r>
      <w:r>
        <w:t xml:space="preserve">(</w:t>
      </w:r>
      <w:r>
        <w:t xml:space="preserve">“Park</w:t>
      </w:r>
      <w:r>
        <w:t xml:space="preserve"> </w:t>
      </w:r>
      <w:r>
        <w:t xml:space="preserve">Act</w:t>
      </w:r>
      <w:r>
        <w:t xml:space="preserve">,”</w:t>
      </w:r>
      <w:r>
        <w:t xml:space="preserve"> </w:t>
      </w:r>
      <w:r>
        <w:t xml:space="preserve">n.d.)</w:t>
      </w:r>
      <w:r>
        <w:t xml:space="preserve">. The park contains three BEC zones, CWH, MH, and CMA, but does not include CDF, which is only found in the southern portion of the island. Due to this, we do not include CDF in our analysis.</w:t>
      </w:r>
    </w:p>
    <w:bookmarkEnd w:id="27"/>
    <w:bookmarkStart w:id="28" w:name="forest-structure"/>
    <w:p>
      <w:pPr>
        <w:pStyle w:val="Heading3"/>
      </w:pPr>
      <w:r>
        <w:t xml:space="preserve">2.2.2 Forest Structure</w:t>
      </w:r>
    </w:p>
    <w:p>
      <w:pPr>
        <w:pStyle w:val="FirstParagraph"/>
      </w:pPr>
      <w:r>
        <w:t xml:space="preserve">Wall-to-wall, 30 m forest structure metrics (canopy height, canopy cover, structural complexity, and aboveground biomass) were generated by</w:t>
      </w:r>
      <w:r>
        <w:t xml:space="preserve"> </w:t>
      </w:r>
      <w:r>
        <w:t xml:space="preserve">Matasci et al. (2018a)</w:t>
      </w:r>
      <w:r>
        <w:t xml:space="preserve"> </w:t>
      </w:r>
      <w:r>
        <w:t xml:space="preserve">for 2015 across the forested landscape of British Columbia. This data was generated by using a random forest-kNN approach, imputing airborne laser scanning derived forest structural attributes across the entirety of Canada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w:t>
      </w:r>
      <w:r>
        <w:t xml:space="preserve"> </w:t>
      </w:r>
      <w:r>
        <w:t xml:space="preserve">White et al. (2014)</w:t>
      </w:r>
      <w:r>
        <w:t xml:space="preserve">. The BAP composites were further refined by using a spectral trend analysis on the normalized burn ratio to remove noise, and missing pixels are infilled using temporally-interpolated values. This procedure results in gap-free, surface-reflectance image composites</w:t>
      </w:r>
      <w:r>
        <w:t xml:space="preserve"> </w:t>
      </w:r>
      <w:r>
        <w:t xml:space="preserve">(Hermosilla et al., 2015)</w:t>
      </w:r>
      <w:r>
        <w:t xml:space="preserve">, which are used as the primary dataset to impute forest structural attributes</w:t>
      </w:r>
      <w:r>
        <w:t xml:space="preserve"> </w:t>
      </w:r>
      <w:r>
        <w:t xml:space="preserve">(Matasci et al., 2018a; Matasci et al., 2018b)</w:t>
      </w:r>
      <w:r>
        <w:t xml:space="preserve">.</w:t>
      </w:r>
    </w:p>
    <w:bookmarkEnd w:id="28"/>
    <w:bookmarkStart w:id="29" w:name="forest-function"/>
    <w:p>
      <w:pPr>
        <w:pStyle w:val="Heading3"/>
      </w:pPr>
      <w:r>
        <w:t xml:space="preserve">2.2.3 Forest Function</w:t>
      </w:r>
    </w:p>
    <w:p>
      <w:pPr>
        <w:pStyle w:val="FirstParagraph"/>
      </w:pPr>
      <w:r>
        <w:t xml:space="preserve">For our forest ecosystem function dataset, we calculated the Dynamic Habitat Indices</w:t>
      </w:r>
      <w:r>
        <w:t xml:space="preserve"> </w:t>
      </w:r>
      <w:r>
        <w:t xml:space="preserve">(Radeloff et al., 2019)</w:t>
      </w:r>
      <w:r>
        <w:t xml:space="preserve"> </w:t>
      </w:r>
      <w:r>
        <w:t xml:space="preserve">using Landsat data on Google Earth Engine</w:t>
      </w:r>
      <w:r>
        <w:t xml:space="preserve"> </w:t>
      </w:r>
      <w:r>
        <w:t xml:space="preserve">(Gorelick et al., 2017)</w:t>
      </w:r>
      <w:r>
        <w:t xml:space="preserve">, following the methodology of</w:t>
      </w:r>
      <w:r>
        <w:t xml:space="preserve"> </w:t>
      </w:r>
      <w:r>
        <w:t xml:space="preserve">Razenkova et al. (n.d.)</w:t>
      </w:r>
      <w:r>
        <w:t xml:space="preserve">. Briefly, we created a synthetic year of NDVI composites using all available Landsat imagery from 2011-2020 (centred on 2015). We used the Landsat QA band derived from the fmask algorithm</w:t>
      </w:r>
      <w:r>
        <w:t xml:space="preserve"> </w:t>
      </w:r>
      <w:r>
        <w:t xml:space="preserve">(Zhu and Woodcock, 2012)</w:t>
      </w:r>
      <w:r>
        <w:t xml:space="preserve"> </w:t>
      </w:r>
      <w:r>
        <w:t xml:space="preserve">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w:t>
      </w:r>
      <w:r>
        <w:t xml:space="preserve"> </w:t>
      </w:r>
      <w:r>
        <w:t xml:space="preserve">(Razenkova et al., n.d.)</w:t>
      </w:r>
      <w:r>
        <w:t xml:space="preserve">. The DHIs are calculated as the sum (Cumulative DHI), minimum (Minimum DHI), and coefficient of variation (Variation DHI) of these monthly observations. The three DHIs have been shown to be indicative of biodiversity overa range of scales</w:t>
      </w:r>
      <w:r>
        <w:t xml:space="preserve"> </w:t>
      </w:r>
      <w:r>
        <w:t xml:space="preserve">(Radeloff et al., 2019; Razenkova et al., 2022)</w:t>
      </w:r>
      <w:r>
        <w:t xml:space="preserve"> </w:t>
      </w:r>
      <w:r>
        <w:t xml:space="preserve">and extents</w:t>
      </w:r>
      <w:r>
        <w:t xml:space="preserve"> </w:t>
      </w:r>
      <w:r>
        <w:t xml:space="preserve">(Coops et al., 2019, 2009)</w:t>
      </w:r>
      <w:r>
        <w:t xml:space="preserve"> </w:t>
      </w:r>
      <w:r>
        <w:t xml:space="preserve">for a variety of clades</w:t>
      </w:r>
      <w:r>
        <w:t xml:space="preserve"> </w:t>
      </w:r>
      <w:r>
        <w:t xml:space="preserve">(Michaud et al., 2014; Suttidate et al., 2021)</w:t>
      </w:r>
      <w:r>
        <w:t xml:space="preserve">. In this study, we focus on the Cumulative and Variation DHIs, as the minimum DHI is consistently 0 due to the presence of snow.</w:t>
      </w:r>
    </w:p>
    <w:bookmarkEnd w:id="29"/>
    <w:bookmarkStart w:id="30" w:name="anthropogenic-pressures"/>
    <w:p>
      <w:pPr>
        <w:pStyle w:val="Heading3"/>
      </w:pPr>
      <w:r>
        <w:t xml:space="preserve">2.2.4 Anthropogenic Pressures</w:t>
      </w:r>
    </w:p>
    <w:p>
      <w:pPr>
        <w:pStyle w:val="FirstParagraph"/>
      </w:pPr>
      <w:r>
        <w:t xml:space="preserve">We use the Canadian Human Footprint as developed by</w:t>
      </w:r>
      <w:r>
        <w:t xml:space="preserve"> </w:t>
      </w:r>
      <w:r>
        <w:t xml:space="preserve">Hirsh-Pearson et al. (2022)</w:t>
      </w:r>
      <w:r>
        <w:t xml:space="preserve">.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Here, we focus on the overall cumulative pressure map and four individual pressures: population density, built environments, roads, and forestry. We selected these pressures as some others (oil and gas; railroads) are not present on Vancouver Island, and others, such as pasture land and crop land do not coincide with forested areas.</w:t>
      </w:r>
    </w:p>
    <w:bookmarkEnd w:id="30"/>
    <w:bookmarkStart w:id="36" w:name="covariates"/>
    <w:p>
      <w:pPr>
        <w:pStyle w:val="Heading3"/>
      </w:pPr>
      <w:r>
        <w:t xml:space="preserve">2.2.5 Covariates</w:t>
      </w:r>
    </w:p>
    <w:p>
      <w:pPr>
        <w:pStyle w:val="FirstParagraph"/>
      </w:pPr>
      <w:r>
        <w:t xml:space="preserve">In our matching procedure (see</w:t>
      </w:r>
      <w:r>
        <w:t xml:space="preserve"> </w:t>
      </w:r>
      <w:hyperlink w:anchor="sec-sim">
        <w:r>
          <w:rPr>
            <w:rStyle w:val="Hyperlink"/>
          </w:rPr>
          <w:t xml:space="preserve">Section 2.3</w:t>
        </w:r>
      </w:hyperlink>
      <w:r>
        <w:t xml:space="preserve">) we use two core datasets as our matching covariates. Firstly, we use a 30 m digital elevation model and derived slope dataset from the Advanced Spaceborne Thermal Emission and Reflection Radiometer (ASTER) Version 2 GDEM product</w:t>
      </w:r>
      <w:r>
        <w:t xml:space="preserve"> </w:t>
      </w:r>
      <w:r>
        <w:t xml:space="preserve">(Tachikawa et al., 2011)</w:t>
      </w:r>
      <w:r>
        <w:t xml:space="preserve">.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 A visualization of one of each input dataset can be found in Figure</w:t>
      </w:r>
      <w:r>
        <w:t xml:space="preserve"> </w:t>
      </w:r>
      <w:hyperlink w:anchor="fig-data">
        <w:r>
          <w:rPr>
            <w:rStyle w:val="Hyperlink"/>
          </w:rPr>
          <w:t xml:space="preserve">Figure 2</w:t>
        </w:r>
      </w:hyperlink>
      <w:r>
        <w:t xml:space="preserve">.</w:t>
      </w:r>
    </w:p>
    <w:bookmarkStart w:id="35" w:name="cell-fig-data"/>
    <w:tbl>
      <w:tblPr>
        <w:tblStyle w:val="Table"/>
        <w:tblW w:type="pct" w:w="5000"/>
        <w:tblLayout w:type="fixed"/>
        <w:tblLook w:firstRow="0" w:lastRow="0" w:firstColumn="0" w:lastColumn="0" w:noHBand="0" w:noVBand="0" w:val="0000"/>
      </w:tblPr>
      <w:tblGrid>
        <w:gridCol w:w="7920"/>
      </w:tblGrid>
      <w:tr>
        <w:tc>
          <w:tcPr/>
          <w:bookmarkStart w:id="34" w:name="fig-data"/>
          <w:p>
            <w:pPr>
              <w:pStyle w:val="Compact"/>
              <w:jc w:val="center"/>
            </w:pPr>
            <w:r>
              <w:drawing>
                <wp:inline>
                  <wp:extent cx="5943600" cy="5943600"/>
                  <wp:effectExtent b="0" l="0" r="0" t="0"/>
                  <wp:docPr descr="" title="" id="32" name="Picture"/>
                  <a:graphic>
                    <a:graphicData uri="http://schemas.openxmlformats.org/drawingml/2006/picture">
                      <pic:pic>
                        <pic:nvPicPr>
                          <pic:cNvPr descr="strathcona/figures/data_figure.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Visualization of the input datasets used in the study. Panel C shows the human footprint and the location of the samples used for our analysis.</w:t>
            </w:r>
          </w:p>
          <w:bookmarkEnd w:id="34"/>
        </w:tc>
      </w:tr>
    </w:tbl>
    <w:bookmarkEnd w:id="35"/>
    <w:bookmarkEnd w:id="36"/>
    <w:bookmarkEnd w:id="37"/>
    <w:bookmarkStart w:id="43" w:name="sec-sim"/>
    <w:p>
      <w:pPr>
        <w:pStyle w:val="Heading2"/>
      </w:pPr>
      <w:r>
        <w:t xml:space="preserve">2.3 Calculating similarity</w:t>
      </w:r>
    </w:p>
    <w:p>
      <w:pPr>
        <w:pStyle w:val="FirstParagraph"/>
      </w:pPr>
      <w:r>
        <w:t xml:space="preserve">We calculate the sigma dissimilarity</w:t>
      </w:r>
      <w:r>
        <w:t xml:space="preserve"> </w:t>
      </w:r>
      <w:r>
        <w:t xml:space="preserve">(Mahony et al., 2017)</w:t>
      </w:r>
      <w:r>
        <w:t xml:space="preserve"> </w:t>
      </w:r>
      <w:r>
        <w:t xml:space="preserve">of forested pixels across British Columbia by using an expanded coarsened exact matching (CEM) technique , </w:t>
      </w:r>
      <w:hyperlink w:anchor="fig-flow">
        <w:r>
          <w:rPr>
            <w:rStyle w:val="Hyperlink"/>
          </w:rPr>
          <w:t xml:space="preserve">Figure 3</w:t>
        </w:r>
      </w:hyperlink>
      <w:r>
        <w:t xml:space="preserve">. This methodology enables us to evaluate the degree of similarity between all forested pixels in the province and natural forests, while accounting for potential confounding variables such as climate and topography.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two, we do not consider that strata in our analysis.</w:t>
      </w:r>
    </w:p>
    <w:bookmarkStart w:id="42" w:name="cell-fig-flow"/>
    <w:tbl>
      <w:tblPr>
        <w:tblStyle w:val="Table"/>
        <w:tblW w:type="pct" w:w="5000"/>
        <w:tblLayout w:type="fixed"/>
        <w:tblLook w:firstRow="0" w:lastRow="0" w:firstColumn="0" w:lastColumn="0" w:noHBand="0" w:noVBand="0" w:val="0000"/>
      </w:tblPr>
      <w:tblGrid>
        <w:gridCol w:w="7920"/>
      </w:tblGrid>
      <w:tr>
        <w:tc>
          <w:tcPr/>
          <w:bookmarkStart w:id="41" w:name="fig-flow"/>
          <w:p>
            <w:pPr>
              <w:pStyle w:val="Compact"/>
              <w:jc w:val="center"/>
            </w:pPr>
            <w:r>
              <w:drawing>
                <wp:inline>
                  <wp:extent cx="5943600" cy="5705856"/>
                  <wp:effectExtent b="0" l="0" r="0" t="0"/>
                  <wp:docPr descr="" title="" id="39" name="Picture"/>
                  <a:graphic>
                    <a:graphicData uri="http://schemas.openxmlformats.org/drawingml/2006/picture">
                      <pic:pic>
                        <pic:nvPicPr>
                          <pic:cNvPr descr="strathcona/figures/flow.drawio.png" id="40" name="Picture"/>
                          <pic:cNvPicPr>
                            <a:picLocks noChangeArrowheads="1" noChangeAspect="1"/>
                          </pic:cNvPicPr>
                        </pic:nvPicPr>
                        <pic:blipFill>
                          <a:blip r:embed="rId38"/>
                          <a:stretch>
                            <a:fillRect/>
                          </a:stretch>
                        </pic:blipFill>
                        <pic:spPr bwMode="auto">
                          <a:xfrm>
                            <a:off x="0" y="0"/>
                            <a:ext cx="5943600" cy="57058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Conceptual flow diagram of the study.</w:t>
            </w:r>
          </w:p>
          <w:bookmarkEnd w:id="41"/>
        </w:tc>
      </w:tr>
    </w:tbl>
    <w:bookmarkEnd w:id="42"/>
    <w:p>
      <w:pPr>
        <w:pStyle w:val="BodyText"/>
      </w:pPr>
      <w:r>
        <w:t xml:space="preserve">Following the matching procedure, we identify data driven reference states in both structural and functional attributes by selecting the top 10% of protected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w:t>
      </w:r>
      <w:r>
        <w:t xml:space="preserve"> </w:t>
      </w:r>
      <w:r>
        <w:t xml:space="preserve">(Mahony et al., 2017)</w:t>
      </w:r>
      <w:r>
        <w:t xml:space="preserve">. This effectively accounts for the effect of dimensionality when creating a multivariate similarity metric</w:t>
      </w:r>
      <w:r>
        <w:t xml:space="preserve"> </w:t>
      </w:r>
      <w:r>
        <w:t xml:space="preserve">(Mahony et al., 2017)</w:t>
      </w:r>
      <w:r>
        <w:t xml:space="preserve">. We calculate sigma dissimilarity for every strata with a suitable reference state, comparing all forested pixels to the top 10% of each attribute for that reference state.</w:t>
      </w:r>
    </w:p>
    <w:bookmarkEnd w:id="43"/>
    <w:bookmarkStart w:id="44" w:name="sampling"/>
    <w:p>
      <w:pPr>
        <w:pStyle w:val="Heading2"/>
      </w:pPr>
      <w:r>
        <w:t xml:space="preserve">2.4 Sampling</w:t>
      </w:r>
    </w:p>
    <w:p>
      <w:pPr>
        <w:pStyle w:val="FirstParagraph"/>
      </w:pPr>
      <w:r>
        <w:t xml:space="preserve">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w:t>
      </w:r>
      <w:r>
        <w:t xml:space="preserve">: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 Geospatial data processing was performed using the</w:t>
      </w:r>
      <w:r>
        <w:t xml:space="preserve"> </w:t>
      </w:r>
      <w:r>
        <w:rPr>
          <w:b/>
          <w:bCs/>
        </w:rPr>
        <w:t xml:space="preserve">terra</w:t>
      </w:r>
      <w:r>
        <w:t xml:space="preserve"> </w:t>
      </w:r>
      <w:r>
        <w:t xml:space="preserve">(version 1.7-78)</w:t>
      </w:r>
      <w:r>
        <w:t xml:space="preserve"> </w:t>
      </w:r>
      <w:r>
        <w:t xml:space="preserve">(Hijmans, 2024)</w:t>
      </w:r>
      <w:r>
        <w:t xml:space="preserve"> </w:t>
      </w:r>
      <w:r>
        <w:t xml:space="preserve">sf (version 1.0-16)</w:t>
      </w:r>
      <w:r>
        <w:t xml:space="preserve"> </w:t>
      </w:r>
      <w:r>
        <w:t xml:space="preserve">(Pebesma, 2018; Pebesma and Bivand, 2023)</w:t>
      </w:r>
      <w:r>
        <w:t xml:space="preserve"> </w:t>
      </w:r>
      <w:r>
        <w:t xml:space="preserve">and</w:t>
      </w:r>
      <w:r>
        <w:t xml:space="preserve"> </w:t>
      </w:r>
      <w:r>
        <w:rPr>
          <w:b/>
          <w:bCs/>
        </w:rPr>
        <w:t xml:space="preserve">tidyterra</w:t>
      </w:r>
      <w:r>
        <w:t xml:space="preserve"> </w:t>
      </w:r>
      <w:r>
        <w:t xml:space="preserve">(version 0.6.1)</w:t>
      </w:r>
      <w:r>
        <w:t xml:space="preserve"> </w:t>
      </w:r>
      <w:r>
        <w:t xml:space="preserve">(Hernangómez, 2023a, 2023b)</w:t>
      </w:r>
      <w:r>
        <w:t xml:space="preserve"> </w:t>
      </w:r>
      <w:r>
        <w:t xml:space="preserve">R packages.</w:t>
      </w:r>
    </w:p>
    <w:bookmarkEnd w:id="44"/>
    <w:bookmarkStart w:id="45" w:name="analysis"/>
    <w:p>
      <w:pPr>
        <w:pStyle w:val="Heading2"/>
      </w:pPr>
      <w:r>
        <w:t xml:space="preserve">2.5 Analysis</w:t>
      </w:r>
    </w:p>
    <w:p>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5"/>
    <w:bookmarkEnd w:id="46"/>
    <w:bookmarkStart w:id="62" w:name="results"/>
    <w:p>
      <w:pPr>
        <w:pStyle w:val="Heading1"/>
      </w:pPr>
      <w:r>
        <w:t xml:space="preserve">3. Results</w:t>
      </w:r>
    </w:p>
    <w:p>
      <w:pPr>
        <w:pStyle w:val="FirstParagraph"/>
      </w:pPr>
      <w:r>
        <w:t xml:space="preserve">Our sigma dissimilarity processing workflow resulted in six island wide maps of structural and functional similarity to the reference state found in Strathcona Provincial Park (</w:t>
      </w:r>
      <w:hyperlink w:anchor="fig-regional">
        <w:r>
          <w:rPr>
            <w:rStyle w:val="Hyperlink"/>
          </w:rPr>
          <w:t xml:space="preserve">Figure 4</w:t>
        </w:r>
      </w:hyperlink>
      <w:r>
        <w:t xml:space="preserve">). We display three selected subsets of Vancouver Island to demonstrate variation in similarity and the anthorpogenic footprint layers. Subset A shows a region near Lake Cowichan where harvesting is a common anthropogenic pressure (</w:t>
      </w:r>
      <w:hyperlink w:anchor="fig-regional">
        <w:r>
          <w:rPr>
            <w:rStyle w:val="Hyperlink"/>
          </w:rPr>
          <w:t xml:space="preserve">Figure 4</w:t>
        </w:r>
      </w:hyperlink>
      <w:r>
        <w:t xml:space="preserve"> </w:t>
      </w:r>
      <w:r>
        <w:t xml:space="preserve">A). Subset B shows a protected area near Campbell River with high population density (</w:t>
      </w:r>
      <w:hyperlink w:anchor="fig-regional">
        <w:r>
          <w:rPr>
            <w:rStyle w:val="Hyperlink"/>
          </w:rPr>
          <w:t xml:space="preserve">Figure 4</w:t>
        </w:r>
      </w:hyperlink>
      <w:r>
        <w:t xml:space="preserve"> </w:t>
      </w:r>
      <w:r>
        <w:t xml:space="preserve">B). Subset C shows a region with generally low anthropogenic pressure (</w:t>
      </w:r>
      <w:hyperlink w:anchor="fig-regional">
        <w:r>
          <w:rPr>
            <w:rStyle w:val="Hyperlink"/>
          </w:rPr>
          <w:t xml:space="preserve">Figure 4</w:t>
        </w:r>
      </w:hyperlink>
      <w:r>
        <w:t xml:space="preserve"> </w:t>
      </w:r>
      <w:r>
        <w:t xml:space="preserve">C). We see more variation in the similarity to high aboveground biomass and functional reference states, while the similarity to canopy cover, canopy height, and structural complexity is often lower across Vancouver Island.</w:t>
      </w:r>
    </w:p>
    <w:bookmarkStart w:id="51" w:name="cell-fig-regional"/>
    <w:tbl>
      <w:tblPr>
        <w:tblStyle w:val="Table"/>
        <w:tblW w:type="pct" w:w="5000"/>
        <w:tblLayout w:type="fixed"/>
        <w:tblLook w:firstRow="0" w:lastRow="0" w:firstColumn="0" w:lastColumn="0" w:noHBand="0" w:noVBand="0" w:val="0000"/>
      </w:tblPr>
      <w:tblGrid>
        <w:gridCol w:w="7920"/>
      </w:tblGrid>
      <w:tr>
        <w:tc>
          <w:tcPr/>
          <w:bookmarkStart w:id="50" w:name="fig-regional"/>
          <w:p>
            <w:pPr>
              <w:pStyle w:val="Compact"/>
              <w:jc w:val="center"/>
            </w:pPr>
            <w:r>
              <w:drawing>
                <wp:inline>
                  <wp:extent cx="5943600" cy="2228850"/>
                  <wp:effectExtent b="0" l="0" r="0" t="0"/>
                  <wp:docPr descr="" title="" id="48" name="Picture"/>
                  <a:graphic>
                    <a:graphicData uri="http://schemas.openxmlformats.org/drawingml/2006/picture">
                      <pic:pic>
                        <pic:nvPicPr>
                          <pic:cNvPr descr="strathcona/figures/multi_panel_inset_wide_PS.png" id="49" name="Picture"/>
                          <pic:cNvPicPr>
                            <a:picLocks noChangeArrowheads="1" noChangeAspect="1"/>
                          </pic:cNvPicPr>
                        </pic:nvPicPr>
                        <pic:blipFill>
                          <a:blip r:embed="rId47"/>
                          <a:stretch>
                            <a:fillRect/>
                          </a:stretch>
                        </pic:blipFill>
                        <pic:spPr bwMode="auto">
                          <a:xfrm>
                            <a:off x="0" y="0"/>
                            <a:ext cx="5943600" cy="2228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Regional details of the human footprint and sigma dissimilarity across the sites on Vancouver Island. Subset A show Cowichan Lake, a heavily harvested region. Subset B shows Elk Falls Provincial Park, just outside Campbell River, a region with high population density. Subset C shows a region with generally low anthropogenic pressure.</w:t>
            </w:r>
          </w:p>
          <w:bookmarkEnd w:id="50"/>
        </w:tc>
      </w:tr>
    </w:tbl>
    <w:bookmarkEnd w:id="51"/>
    <w:p>
      <w:pPr>
        <w:pStyle w:val="BodyText"/>
      </w:pPr>
      <w:r>
        <w:t xml:space="preserve">We found that similarity to high structural complexity (Anova: p = 0.007) and tall canopy height (Anova: p = 0.003) reference states was influenced by medium to high levels of cumulative anthropogenic pressure (</w:t>
      </w:r>
      <w:hyperlink w:anchor="fig-boxplot-overall">
        <w:r>
          <w:rPr>
            <w:rStyle w:val="Hyperlink"/>
          </w:rPr>
          <w:t xml:space="preserve">Figure 5</w:t>
        </w:r>
      </w:hyperlink>
      <w:r>
        <w:t xml:space="preserve">). Similarity to high biomass (Anova: p = 0.142) and canopy cover (Anova: p = 0.855) regions were not significantly influenced by cumulative anthropogenic pressures. Neither of the productivity metrics were influenced by cumulative anthropogenic pressures.</w:t>
      </w:r>
    </w:p>
    <w:bookmarkStart w:id="56" w:name="cell-fig-boxplot-overall"/>
    <w:tbl>
      <w:tblPr>
        <w:tblStyle w:val="Table"/>
        <w:tblW w:type="pct" w:w="5000"/>
        <w:tblLayout w:type="fixed"/>
        <w:tblLook w:firstRow="0" w:lastRow="0" w:firstColumn="0" w:lastColumn="0" w:noHBand="0" w:noVBand="0" w:val="0000"/>
      </w:tblPr>
      <w:tblGrid>
        <w:gridCol w:w="7920"/>
      </w:tblGrid>
      <w:tr>
        <w:tc>
          <w:tcPr/>
          <w:bookmarkStart w:id="55" w:name="fig-boxplot-overall"/>
          <w:p>
            <w:pPr>
              <w:pStyle w:val="Compact"/>
              <w:jc w:val="center"/>
            </w:pPr>
            <w:r>
              <w:drawing>
                <wp:inline>
                  <wp:extent cx="5943600" cy="4457699"/>
                  <wp:effectExtent b="0" l="0" r="0" t="0"/>
                  <wp:docPr descr="" title="" id="53" name="Picture"/>
                  <a:graphic>
                    <a:graphicData uri="http://schemas.openxmlformats.org/drawingml/2006/picture">
                      <pic:pic>
                        <pic:nvPicPr>
                          <pic:cNvPr descr="strathcona/figures/mahal_boxplot_sig.png" id="54" name="Picture"/>
                          <pic:cNvPicPr>
                            <a:picLocks noChangeArrowheads="1" noChangeAspect="1"/>
                          </pic:cNvPicPr>
                        </pic:nvPicPr>
                        <pic:blipFill>
                          <a:blip r:embed="rId52"/>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Boxplots of sigma similarity to the reference state in Strathcona Provincial Park by cumulative human footprint category. Anova p-values corrected using the Holm-Bonferroni method. * indicates a Tukey HSD p-value &lt; 0.05. ** indicates a Tukey HSD p-value &lt; 0.01.</w:t>
            </w:r>
          </w:p>
          <w:bookmarkEnd w:id="55"/>
        </w:tc>
      </w:tr>
    </w:tbl>
    <w:bookmarkEnd w:id="56"/>
    <w:p>
      <w:pPr>
        <w:pStyle w:val="BodyText"/>
      </w:pPr>
      <w:r>
        <w:t xml:space="preserve">Increases in all individual anthropogenic pressures led to increased dissimilarity when compared to most structural reference states (</w:t>
      </w:r>
      <w:hyperlink w:anchor="fig-boxplot-individual">
        <w:r>
          <w:rPr>
            <w:rStyle w:val="Hyperlink"/>
          </w:rPr>
          <w:t xml:space="preserve">Figure 6</w:t>
        </w:r>
      </w:hyperlink>
      <w:r>
        <w:t xml:space="preserve">).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bookmarkStart w:id="61" w:name="cell-fig-boxplot-individual"/>
    <w:tbl>
      <w:tblPr>
        <w:tblStyle w:val="Table"/>
        <w:tblW w:type="pct" w:w="5000"/>
        <w:tblLayout w:type="fixed"/>
        <w:tblLook w:firstRow="0" w:lastRow="0" w:firstColumn="0" w:lastColumn="0" w:noHBand="0" w:noVBand="0" w:val="0000"/>
      </w:tblPr>
      <w:tblGrid>
        <w:gridCol w:w="7920"/>
      </w:tblGrid>
      <w:tr>
        <w:tc>
          <w:tcPr/>
          <w:bookmarkStart w:id="60" w:name="fig-boxplot-individual"/>
          <w:p>
            <w:pPr>
              <w:pStyle w:val="Compact"/>
              <w:jc w:val="center"/>
            </w:pPr>
            <w:r>
              <w:drawing>
                <wp:inline>
                  <wp:extent cx="5943600" cy="5943600"/>
                  <wp:effectExtent b="0" l="0" r="0" t="0"/>
                  <wp:docPr descr="" title="" id="58" name="Picture"/>
                  <a:graphic>
                    <a:graphicData uri="http://schemas.openxmlformats.org/drawingml/2006/picture">
                      <pic:pic>
                        <pic:nvPicPr>
                          <pic:cNvPr descr="strathcona/figures/indiv_boxplots.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bookmarkEnd w:id="60"/>
        </w:tc>
      </w:tr>
    </w:tbl>
    <w:bookmarkEnd w:id="61"/>
    <w:bookmarkEnd w:id="62"/>
    <w:bookmarkStart w:id="63" w:name="discussion"/>
    <w:p>
      <w:pPr>
        <w:pStyle w:val="Heading1"/>
      </w:pPr>
      <w:r>
        <w:t xml:space="preserve">4. Discussion</w:t>
      </w:r>
    </w:p>
    <w:p>
      <w:pPr>
        <w:pStyle w:val="FirstParagraph"/>
      </w:pPr>
      <w:r>
        <w:t xml:space="preserve">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 xml:space="preserve">Figure 5</w:t>
        </w:r>
      </w:hyperlink>
      <w:r>
        <w:t xml:space="preserve">;</w:t>
      </w:r>
      <w:r>
        <w:t xml:space="preserve"> </w:t>
      </w:r>
      <w:hyperlink w:anchor="fig-boxplot-individual">
        <w:r>
          <w:rPr>
            <w:rStyle w:val="Hyperlink"/>
          </w:rPr>
          <w:t xml:space="preserve">Figure 6</w:t>
        </w:r>
      </w:hyperlink>
      <w:r>
        <w:t xml:space="preserve">).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 xml:space="preserve">Figure 6</w:t>
        </w:r>
      </w:hyperlink>
      <w:r>
        <w:t xml:space="preserve">).</w:t>
      </w:r>
    </w:p>
    <w:p>
      <w:pPr>
        <w:pStyle w:val="BodyText"/>
      </w:pPr>
      <w:r>
        <w:t xml:space="preserve">We find that similarity to high structural complexity forests, which are often high in biodiversity due to increased niche availability</w:t>
      </w:r>
      <w:r>
        <w:t xml:space="preserve"> </w:t>
      </w:r>
      <w:r>
        <w:t xml:space="preserve">(Macarthur and Macarthur, 1961; Walter et al., 2021)</w:t>
      </w:r>
      <w:r>
        <w:t xml:space="preserve">, is impacted by medium to high levels of anthropogenic pressures. Structural similarity to tall forests is also impacted by medium to high levels of anthropogenic pressure, while productivity metrics were not influenced by cumulative anthropogenic pressures in this region (</w:t>
      </w:r>
      <w:hyperlink w:anchor="fig-boxplot-overall">
        <w:r>
          <w:rPr>
            <w:rStyle w:val="Hyperlink"/>
          </w:rPr>
          <w:t xml:space="preserve">Figure 5</w:t>
        </w:r>
      </w:hyperlink>
      <w:r>
        <w:t xml:space="preserve">). In tropical forests,</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 xml:space="preserve">Figure 6</w:t>
        </w:r>
      </w:hyperlink>
      <w:r>
        <w:t xml:space="preserve">).</w:t>
      </w:r>
    </w:p>
    <w:p>
      <w:pPr>
        <w:pStyle w:val="BodyText"/>
      </w:pPr>
      <w:r>
        <w:t xml:space="preserve">It is possible that we did not find a relationship between cumulative anthropogenic pressures and canopy cover/aboveground biomass as these forest structural attributes are typically high on Vancouver Island due to the regions mild climate and suitability for forest growth</w:t>
      </w:r>
      <w:r>
        <w:t xml:space="preserve"> </w:t>
      </w:r>
      <w:r>
        <w:t xml:space="preserve">(Waring et al., 2006)</w:t>
      </w:r>
      <w:r>
        <w:t xml:space="preserve">. Conversely, we did find a relationship between the vertical layering (canopy height and structural complexity) of trees and anthropogenic pressures (</w:t>
      </w:r>
      <w:hyperlink w:anchor="fig-boxplot-overall">
        <w:r>
          <w:rPr>
            <w:rStyle w:val="Hyperlink"/>
          </w:rPr>
          <w:t xml:space="preserve">Figure 5</w:t>
        </w:r>
      </w:hyperlink>
      <w:r>
        <w:t xml:space="preserve">). This is especially relevant as structurally complex forests are crucial for harbouring biodiversity and providing ecosystem functions and services. The lack of a relationship between canopy cover/aboveground biomass and the cumulative human footprint is potentially due to replanting efforts from the forestry industry following harvest, which are required in British Columbia and often lead to single species, single aged stands</w:t>
      </w:r>
      <w:r>
        <w:t xml:space="preserve"> </w:t>
      </w:r>
      <w:r>
        <w:t xml:space="preserve">(Lieffers et al., 2020)</w:t>
      </w:r>
      <w:r>
        <w:t xml:space="preserve">. Stands of this configuration are unlikely to be found in our reference state, Strathcona Provincial Park, as it has been a protected area for over 100 years, thus leading to higher dissimilarity values.</w:t>
      </w:r>
    </w:p>
    <w:p>
      <w:pPr>
        <w:pStyle w:val="BodyText"/>
      </w:pPr>
      <w:r>
        <w:t xml:space="preserve">Anthropogenic effects on forest function and energy availability have rarely been examined. Here, we also examine how anthropogenic pressures influence similarity to high available energy and high energy variation forests, both hypothesized to indicate high levels of biodiversity in a number of guilds and clades</w:t>
      </w:r>
      <w:r>
        <w:t xml:space="preserve"> </w:t>
      </w:r>
      <w:r>
        <w:t xml:space="preserve">(Radeloff et al., 2019; Razenkova et al., 2022)</w:t>
      </w:r>
      <w:r>
        <w:t xml:space="preserve">. We do not find a strong influence of cumulative anthropogenic pressure on our forest functioning metrics, however, we did find that similarity to forest stands with high annual energy variability was increased in high population density areas (</w:t>
      </w:r>
      <w:hyperlink w:anchor="fig-boxplot-individual">
        <w:r>
          <w:rPr>
            <w:rStyle w:val="Hyperlink"/>
          </w:rPr>
          <w:t xml:space="preserve">Figure 6</w:t>
        </w:r>
      </w:hyperlink>
      <w:r>
        <w:t xml:space="preserve">). This increase in similarity in high density areas is potentially driven by ornamental trees and the bias for North American urban forests to be primarily deciduous trees</w:t>
      </w:r>
      <w:r>
        <w:t xml:space="preserve"> </w:t>
      </w:r>
      <w:r>
        <w:t xml:space="preserve">(Clapp et al., 2014; Roman et al., 2018)</w:t>
      </w:r>
      <w:r>
        <w:t xml:space="preserve">, which would have a stronger variation DHI component due to annual leaf senescence and green-up.</w:t>
      </w:r>
    </w:p>
    <w:p>
      <w:pPr>
        <w:pStyle w:val="BodyText"/>
      </w:pPr>
      <w:r>
        <w:t xml:space="preserve">Further, the calculation of the DHIs is dependent on using a vegetation index or productivity estimate, in our case NDVI. Vegetation indices have been shown to saturate at high levels of canopy cover and leaf area index</w:t>
      </w:r>
      <w:r>
        <w:t xml:space="preserve"> </w:t>
      </w:r>
      <w:r>
        <w:t xml:space="preserve">(Huete et al., 2002; Huete et al., 1997)</w:t>
      </w:r>
      <w:r>
        <w:t xml:space="preserve">, which are common on Vancouver Island, and comparisons of unprotected areas to the highest 10% cover in reference states shows no significant difference (</w:t>
      </w:r>
      <w:hyperlink w:anchor="fig-boxplot-overall">
        <w:r>
          <w:rPr>
            <w:rStyle w:val="Hyperlink"/>
          </w:rPr>
          <w:t xml:space="preserve">Figure 5</w:t>
        </w:r>
      </w:hyperlink>
      <w:r>
        <w:t xml:space="preserve">). Recent research has shown that seasonality, here represented as the Variation DHI, drives functional diversity in avian assemblages, however, these results also strongly varied by region</w:t>
      </w:r>
      <w:r>
        <w:t xml:space="preserve"> </w:t>
      </w:r>
      <w:r>
        <w:t xml:space="preserve">(Keyser et al., 2024)</w:t>
      </w:r>
      <w:r>
        <w:t xml:space="preserve">. It is possible that examining anthropogenic pressure impacts in regions with more variation in canopy cover may lead to differing results depending on the amount of total variation present in canopy cover, which would in turn influence seasonality and energy availability.</w:t>
      </w:r>
    </w:p>
    <w:p>
      <w:pPr>
        <w:pStyle w:val="BodyText"/>
      </w:pPr>
      <w:r>
        <w:t xml:space="preserve">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w:t>
      </w:r>
      <w:r>
        <w:t xml:space="preserve">(Arias-Patino et al., 2024)</w:t>
      </w:r>
      <w:r>
        <w:t xml:space="preserve">. We assess individual pressures on structural and functional 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w:t>
      </w:r>
    </w:p>
    <w:p>
      <w:pPr>
        <w:pStyle w:val="BodyText"/>
      </w:pPr>
      <w:r>
        <w:t xml:space="preserve">We apply the Sigma Dissimilarity metric developed by</w:t>
      </w:r>
      <w:r>
        <w:t xml:space="preserve"> </w:t>
      </w:r>
      <w:r>
        <w:t xml:space="preserve">Mahony et al. (2017)</w:t>
      </w:r>
      <w:r>
        <w:t xml:space="preserve"> </w:t>
      </w:r>
      <w:r>
        <w:t xml:space="preserve">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methods are similar to other similarity metrics commonly applied in remote sensing for multivariate similarity such as spectral similarity</w:t>
      </w:r>
      <w:r>
        <w:t xml:space="preserve"> </w:t>
      </w:r>
      <w:r>
        <w:t xml:space="preserve">(Schweiger et al., 2018)</w:t>
      </w:r>
      <w:r>
        <w:t xml:space="preserve">, and phenospectral similarity</w:t>
      </w:r>
      <w:r>
        <w:t xml:space="preserve"> </w:t>
      </w:r>
      <w:r>
        <w:t xml:space="preserve">(Osei Darko et al., 2024)</w:t>
      </w:r>
      <w:r>
        <w:t xml:space="preserve">.</w:t>
      </w:r>
    </w:p>
    <w:p>
      <w:pPr>
        <w:pStyle w:val="BodyText"/>
      </w:pPr>
      <w:r>
        <w:t xml:space="preserve">While we are limited in number of structural variables due to the imputation of the lidar-derived dataset across the study area</w:t>
      </w:r>
      <w:r>
        <w:t xml:space="preserve"> </w:t>
      </w:r>
      <w:r>
        <w:t xml:space="preserve">(Matasci et al., 2018a; Matasci et al., 2018b)</w:t>
      </w:r>
      <w:r>
        <w:t xml:space="preserve">,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w:t>
      </w:r>
      <w:r>
        <w:t xml:space="preserve"> </w:t>
      </w:r>
      <w:r>
        <w:t xml:space="preserve">(Dubayah et al., 2020)</w:t>
      </w:r>
      <w:r>
        <w:t xml:space="preserve"> </w:t>
      </w:r>
      <w:r>
        <w:t xml:space="preserve">and IceSAT-II</w:t>
      </w:r>
      <w:r>
        <w:t xml:space="preserve"> </w:t>
      </w:r>
      <w:r>
        <w:t xml:space="preserve">(Neumann et al., 2019)</w:t>
      </w:r>
      <w:r>
        <w:t xml:space="preserve"> </w:t>
      </w:r>
      <w:r>
        <w:t xml:space="preserve">are also providing estimates of forest structure across the globe. However, these satellites are sample based missions, and do not provide wall-to-wall coverage</w:t>
      </w:r>
      <w:r>
        <w:t xml:space="preserve"> </w:t>
      </w:r>
      <w:r>
        <w:t xml:space="preserve">(Duncanson et al., 2021)</w:t>
      </w:r>
      <w:r>
        <w:t xml:space="preserve">.</w:t>
      </w:r>
    </w:p>
    <w:p>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an kNN approach when no exact match is available) allows us to generate reference states in a near wall-to-wall fashion, which ensures similarity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bookmarkEnd w:id="63"/>
    <w:bookmarkStart w:id="65" w:name="acknowledgements"/>
    <w:p>
      <w:pPr>
        <w:pStyle w:val="Heading1"/>
      </w:pPr>
      <w:r>
        <w:t xml:space="preserve">5. Acknowledgements</w:t>
      </w:r>
    </w:p>
    <w:p>
      <w:pPr>
        <w:pStyle w:val="FirstParagraph"/>
      </w:pPr>
      <w:r>
        <w:t xml:space="preserve">This research was funded by NSERC support of Coops (RGPIN-2024-04402). Remote sensing data products used in this research are free and open and available for download at </w:t>
      </w:r>
      <w:hyperlink r:id="rId64">
        <w:r>
          <w:rPr>
            <w:rStyle w:val="Hyperlink"/>
          </w:rPr>
          <w:t xml:space="preserve">https://ca.nfis.org/maps_eng.html</w:t>
        </w:r>
      </w:hyperlink>
      <w:r>
        <w:t xml:space="preserve">. The authors thank Dr. Michael A. Wulder and Dr. Joanne C. White for development and early access to these National Terrestrial Ecosystem Mapping System (NTEMS) products. They thank Dr. Elena Razenkova for early access to the Landsat-derived Dynamic Habitat Indices. ERM would like to thank the members of the IRSS for many helpful conversations throughout the preparation of this man</w:t>
      </w:r>
    </w:p>
    <w:bookmarkEnd w:id="65"/>
    <w:bookmarkStart w:id="66" w:name="ethics"/>
    <w:p>
      <w:pPr>
        <w:pStyle w:val="Heading1"/>
      </w:pPr>
      <w:r>
        <w:t xml:space="preserve">6. Ethics</w:t>
      </w:r>
    </w:p>
    <w:p>
      <w:pPr>
        <w:pStyle w:val="FirstParagraph"/>
      </w:pPr>
      <w:r>
        <w:t xml:space="preserve">The authors declare no conflicts of interest.</w:t>
      </w:r>
    </w:p>
    <w:bookmarkEnd w:id="66"/>
    <w:bookmarkStart w:id="229" w:name="references"/>
    <w:p>
      <w:pPr>
        <w:pStyle w:val="Heading1"/>
      </w:pPr>
      <w:r>
        <w:t xml:space="preserve">References</w:t>
      </w:r>
    </w:p>
    <w:bookmarkStart w:id="228" w:name="refs"/>
    <w:bookmarkStart w:id="68" w:name="ref-andrew2012"/>
    <w:p>
      <w:pPr>
        <w:pStyle w:val="Bibliography"/>
      </w:pPr>
      <w:r>
        <w:t xml:space="preserve">Andrew, M.E., Wulder, M.A., Coops, N.C., 2012. Identification of</w:t>
      </w:r>
      <w:r>
        <w:t xml:space="preserve"> </w:t>
      </w:r>
      <w:r>
        <w:rPr>
          <w:i/>
          <w:iCs/>
        </w:rPr>
        <w:t xml:space="preserve">de facto</w:t>
      </w:r>
      <w:r>
        <w:t xml:space="preserve"> </w:t>
      </w:r>
      <w:r>
        <w:t xml:space="preserve">protected areas in boreal canada. Biological Conservation 146, 97–107.</w:t>
      </w:r>
      <w:r>
        <w:t xml:space="preserve"> </w:t>
      </w:r>
      <w:hyperlink r:id="rId67">
        <w:r>
          <w:rPr>
            <w:rStyle w:val="Hyperlink"/>
          </w:rPr>
          <w:t xml:space="preserve">https://doi.org/10.1016/j.biocon.2011.11.029</w:t>
        </w:r>
      </w:hyperlink>
    </w:p>
    <w:bookmarkEnd w:id="68"/>
    <w:bookmarkStart w:id="70" w:name="ref-arcese1997"/>
    <w:p>
      <w:pPr>
        <w:pStyle w:val="Bibliography"/>
      </w:pPr>
      <w:r>
        <w:t xml:space="preserve">Arcese, P., Sinclair, A.R.E., 1997. The role of protected areas as ecological baselines. The Journal of Wildlife Management 61, 587–602.</w:t>
      </w:r>
      <w:r>
        <w:t xml:space="preserve"> </w:t>
      </w:r>
      <w:hyperlink r:id="rId69">
        <w:r>
          <w:rPr>
            <w:rStyle w:val="Hyperlink"/>
          </w:rPr>
          <w:t xml:space="preserve">https://doi.org/10.2307/3802167</w:t>
        </w:r>
      </w:hyperlink>
    </w:p>
    <w:bookmarkEnd w:id="70"/>
    <w:bookmarkStart w:id="72"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71">
        <w:r>
          <w:rPr>
            <w:rStyle w:val="Hyperlink"/>
          </w:rPr>
          <w:t xml:space="preserve">https://doi.org/10.1016/j.ecolind.2024.112407</w:t>
        </w:r>
      </w:hyperlink>
    </w:p>
    <w:bookmarkEnd w:id="72"/>
    <w:bookmarkStart w:id="74" w:name="ref-balaguer2014"/>
    <w:p>
      <w:pPr>
        <w:pStyle w:val="Bibliography"/>
      </w:pPr>
      <w:r>
        <w:t xml:space="preserve">Balaguer, L., Escudero, A., Martín-Duque, J.F., Mola, I., Aronson, J., 2014. The historical reference in restoration ecology: Re-defining a cornerstone concept. Biological Conservation 176, 12–20.</w:t>
      </w:r>
      <w:r>
        <w:t xml:space="preserve"> </w:t>
      </w:r>
      <w:hyperlink r:id="rId73">
        <w:r>
          <w:rPr>
            <w:rStyle w:val="Hyperlink"/>
          </w:rPr>
          <w:t xml:space="preserve">https://doi.org/10.1016/j.biocon.2014.05.007</w:t>
        </w:r>
      </w:hyperlink>
    </w:p>
    <w:bookmarkEnd w:id="74"/>
    <w:bookmarkStart w:id="76" w:name="ref-becker2023"/>
    <w:p>
      <w:pPr>
        <w:pStyle w:val="Bibliography"/>
      </w:pPr>
      <w:r>
        <w:t xml:space="preserve">Becker, A., Russo, S., Puliti, S., Lang, N., Schindler, K., Wegner, J.D., 2023. Country-wide retrieval of forest structure from optical and SAR satellite imagery with deep ensembles. ISPRS Journal of Photogrammetry and Remote Sensing 195, 269–286.</w:t>
      </w:r>
      <w:r>
        <w:t xml:space="preserve"> </w:t>
      </w:r>
      <w:hyperlink r:id="rId75">
        <w:r>
          <w:rPr>
            <w:rStyle w:val="Hyperlink"/>
          </w:rPr>
          <w:t xml:space="preserve">https://doi.org/10.1016/j.isprsjprs.2022.11.011</w:t>
        </w:r>
      </w:hyperlink>
    </w:p>
    <w:bookmarkEnd w:id="76"/>
    <w:bookmarkStart w:id="78"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77">
        <w:r>
          <w:rPr>
            <w:rStyle w:val="Hyperlink"/>
          </w:rPr>
          <w:t xml:space="preserve">https://doi.org/10.1038/s41586-024-07629-0</w:t>
        </w:r>
      </w:hyperlink>
    </w:p>
    <w:bookmarkEnd w:id="78"/>
    <w:bookmarkStart w:id="80" w:name="ref-brumelis2011"/>
    <w:p>
      <w:pPr>
        <w:pStyle w:val="Bibliography"/>
      </w:pPr>
      <w:r>
        <w:t xml:space="preserve">Brumelis, G., Jonsson, B.G., Kouki, J., Kuuluvainen, T., Shorohova, E., 2011.</w:t>
      </w:r>
      <w:r>
        <w:t xml:space="preserve"> </w:t>
      </w:r>
      <w:hyperlink r:id="rId79">
        <w:r>
          <w:rPr>
            <w:rStyle w:val="Hyperlink"/>
          </w:rPr>
          <w:t xml:space="preserve">Forest naturalness in northern Europe: perspectives on processes, structures and species diversity</w:t>
        </w:r>
      </w:hyperlink>
      <w:r>
        <w:t xml:space="preserve">. Silva Fennica 45.</w:t>
      </w:r>
    </w:p>
    <w:bookmarkEnd w:id="80"/>
    <w:bookmarkStart w:id="81" w:name="ref-burns1990"/>
    <w:p>
      <w:pPr>
        <w:pStyle w:val="Bibliography"/>
      </w:pPr>
      <w:r>
        <w:t xml:space="preserve">Burns, R.M., 1990. Silvics of North America. U.S. Department of Agriculture, Forest Service.</w:t>
      </w:r>
    </w:p>
    <w:bookmarkEnd w:id="81"/>
    <w:bookmarkStart w:id="83"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82">
        <w:r>
          <w:rPr>
            <w:rStyle w:val="Hyperlink"/>
          </w:rPr>
          <w:t xml:space="preserve">https://doi.org/10.1038/nature11148</w:t>
        </w:r>
      </w:hyperlink>
    </w:p>
    <w:bookmarkEnd w:id="83"/>
    <w:bookmarkStart w:id="85" w:name="ref-clapp2014"/>
    <w:p>
      <w:pPr>
        <w:pStyle w:val="Bibliography"/>
      </w:pPr>
      <w:r>
        <w:t xml:space="preserve">Clapp, J.C., Ryan III, H.D.P., Harper, R.W., Bloniarz, D.V., 2014. Rationale for the increased use of conifers as functional green infrastructure: A literature review and synthesis. Arboricultural Journal 36, 161–178.</w:t>
      </w:r>
      <w:r>
        <w:t xml:space="preserve"> </w:t>
      </w:r>
      <w:hyperlink r:id="rId84">
        <w:r>
          <w:rPr>
            <w:rStyle w:val="Hyperlink"/>
          </w:rPr>
          <w:t xml:space="preserve">https://doi.org/10.1080/03071375.2014.950861</w:t>
        </w:r>
      </w:hyperlink>
    </w:p>
    <w:bookmarkEnd w:id="85"/>
    <w:bookmarkStart w:id="86"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86"/>
    <w:bookmarkStart w:id="88"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87">
        <w:r>
          <w:rPr>
            <w:rStyle w:val="Hyperlink"/>
          </w:rPr>
          <w:t xml:space="preserve">https://doi.org/10.1016/j.ecolind.2019.105567</w:t>
        </w:r>
      </w:hyperlink>
    </w:p>
    <w:bookmarkEnd w:id="88"/>
    <w:bookmarkStart w:id="90" w:name="ref-WOS:000265076300011"/>
    <w:p>
      <w:pPr>
        <w:pStyle w:val="Bibliography"/>
      </w:pPr>
      <w:r>
        <w:t xml:space="preserve">Coops, N.C., Waring, R.H., Wulder, M.A., Pidgeon, A.M., Radeloff, V.C., 2009. Bird diversity: A predictable function of satellite-derived estimates of seasonal variation in canopy light absorbance across the united states. JOURNAL OF BIOGEOGRAPHY 36, 905–918.</w:t>
      </w:r>
      <w:r>
        <w:t xml:space="preserve"> </w:t>
      </w:r>
      <w:hyperlink r:id="rId89">
        <w:r>
          <w:rPr>
            <w:rStyle w:val="Hyperlink"/>
          </w:rPr>
          <w:t xml:space="preserve">https://doi.org/10.1111/j.1365-2699.2008.02053.x</w:t>
        </w:r>
      </w:hyperlink>
    </w:p>
    <w:bookmarkEnd w:id="90"/>
    <w:bookmarkStart w:id="92" w:name="ref-corlett2016"/>
    <w:p>
      <w:pPr>
        <w:pStyle w:val="Bibliography"/>
      </w:pPr>
      <w:r>
        <w:t xml:space="preserve">Corlett, R.T., 2016. Restoration, reintroduction, and rewilding in a changing world. Trends in Ecology &amp; Evolution 31, 453–462.</w:t>
      </w:r>
      <w:r>
        <w:t xml:space="preserve"> </w:t>
      </w:r>
      <w:hyperlink r:id="rId91">
        <w:r>
          <w:rPr>
            <w:rStyle w:val="Hyperlink"/>
          </w:rPr>
          <w:t xml:space="preserve">https://doi.org/10.1016/j.tree.2016.02.017</w:t>
        </w:r>
      </w:hyperlink>
    </w:p>
    <w:bookmarkEnd w:id="92"/>
    <w:bookmarkStart w:id="94" w:name="ref-daniels2006"/>
    <w:p>
      <w:pPr>
        <w:pStyle w:val="Bibliography"/>
      </w:pPr>
      <w:r>
        <w:t xml:space="preserve">Daniels, L.D., Gray, R.W., 2006. Disturbance regimes in coastal British Columbia. Journal of Ecosystems and Management 7.</w:t>
      </w:r>
      <w:r>
        <w:t xml:space="preserve"> </w:t>
      </w:r>
      <w:hyperlink r:id="rId93">
        <w:r>
          <w:rPr>
            <w:rStyle w:val="Hyperlink"/>
          </w:rPr>
          <w:t xml:space="preserve">https://doi.org/10.22230/jem.2006v7n2a542</w:t>
        </w:r>
      </w:hyperlink>
    </w:p>
    <w:bookmarkEnd w:id="94"/>
    <w:bookmarkStart w:id="96" w:name="ref-dirzo2003"/>
    <w:p>
      <w:pPr>
        <w:pStyle w:val="Bibliography"/>
      </w:pPr>
      <w:r>
        <w:t xml:space="preserve">Dirzo, R., Raven, P.H., 2003. Global State of Biodiversity and Loss. Annual Review of Environment and Resources 28, 137–167.</w:t>
      </w:r>
      <w:r>
        <w:t xml:space="preserve"> </w:t>
      </w:r>
      <w:hyperlink r:id="rId95">
        <w:r>
          <w:rPr>
            <w:rStyle w:val="Hyperlink"/>
          </w:rPr>
          <w:t xml:space="preserve">https://doi.org/10.1146/annurev.energy.28.050302.105532</w:t>
        </w:r>
      </w:hyperlink>
    </w:p>
    <w:bookmarkEnd w:id="96"/>
    <w:bookmarkStart w:id="98" w:name="ref-dubayah2020"/>
    <w:p>
      <w:pPr>
        <w:pStyle w:val="Bibliography"/>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w:t>
      </w:r>
      <w:r>
        <w:t xml:space="preserve">’</w:t>
      </w:r>
      <w:r>
        <w:t xml:space="preserve">s forests and topography. Science of Remote Sensing 1, 100002.</w:t>
      </w:r>
      <w:r>
        <w:t xml:space="preserve"> </w:t>
      </w:r>
      <w:hyperlink r:id="rId97">
        <w:r>
          <w:rPr>
            <w:rStyle w:val="Hyperlink"/>
          </w:rPr>
          <w:t xml:space="preserve">https://doi.org/10.1016/j.srs.2020.100002</w:t>
        </w:r>
      </w:hyperlink>
    </w:p>
    <w:bookmarkEnd w:id="98"/>
    <w:bookmarkStart w:id="100" w:name="ref-duncanson2021"/>
    <w:p>
      <w:pPr>
        <w:pStyle w:val="Bibliography"/>
      </w:pPr>
      <w:r>
        <w:t xml:space="preserve">Duncanson, L., Neuenschwander, A., Silva, C.A., Montesano, P., Guenther, E., Thomas, N., Hancock, S., Minor, D., White, J., Wulder, M., Armston, J., 2021. 2021 IEEE international geoscience and remote sensing symposium IGARSS. pp. 670–672.</w:t>
      </w:r>
      <w:r>
        <w:t xml:space="preserve"> </w:t>
      </w:r>
      <w:hyperlink r:id="rId99">
        <w:r>
          <w:rPr>
            <w:rStyle w:val="Hyperlink"/>
          </w:rPr>
          <w:t xml:space="preserve">https://doi.org/10.1109/IGARSS47720.2021.9553209</w:t>
        </w:r>
      </w:hyperlink>
    </w:p>
    <w:bookmarkEnd w:id="100"/>
    <w:bookmarkStart w:id="102" w:name="ref-ferraro2009"/>
    <w:p>
      <w:pPr>
        <w:pStyle w:val="Bibliography"/>
      </w:pPr>
      <w:r>
        <w:t xml:space="preserve">Ferraro, P.J., 2009. Counterfactual thinking and impact evaluation in environmental policy. New Directions for Evaluation 2009, 75–84.</w:t>
      </w:r>
      <w:r>
        <w:t xml:space="preserve"> </w:t>
      </w:r>
      <w:hyperlink r:id="rId101">
        <w:r>
          <w:rPr>
            <w:rStyle w:val="Hyperlink"/>
          </w:rPr>
          <w:t xml:space="preserve">https://doi.org/10.1002/ev.297</w:t>
        </w:r>
      </w:hyperlink>
    </w:p>
    <w:bookmarkEnd w:id="102"/>
    <w:bookmarkStart w:id="104"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103">
        <w:r>
          <w:rPr>
            <w:rStyle w:val="Hyperlink"/>
          </w:rPr>
          <w:t xml:space="preserve">https://doi.org/10.1093/forestry/cpac055</w:t>
        </w:r>
      </w:hyperlink>
    </w:p>
    <w:bookmarkEnd w:id="104"/>
    <w:bookmarkStart w:id="106"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5">
        <w:r>
          <w:rPr>
            <w:rStyle w:val="Hyperlink"/>
          </w:rPr>
          <w:t xml:space="preserve">https://doi.org/10.1016/j.rse.2017.06.031</w:t>
        </w:r>
      </w:hyperlink>
    </w:p>
    <w:bookmarkEnd w:id="106"/>
    <w:bookmarkStart w:id="108"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107">
        <w:r>
          <w:rPr>
            <w:rStyle w:val="Hyperlink"/>
          </w:rPr>
          <w:t xml:space="preserve">https://doi.org/10.1038/s41467-020-19493-3</w:t>
        </w:r>
      </w:hyperlink>
    </w:p>
    <w:bookmarkEnd w:id="108"/>
    <w:bookmarkStart w:id="110"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109">
        <w:r>
          <w:rPr>
            <w:rStyle w:val="Hyperlink"/>
          </w:rPr>
          <w:t xml:space="preserve">https://doi.org/10.1038/s41597-019-0214-3</w:t>
        </w:r>
      </w:hyperlink>
    </w:p>
    <w:bookmarkEnd w:id="110"/>
    <w:bookmarkStart w:id="112"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111">
        <w:r>
          <w:rPr>
            <w:rStyle w:val="Hyperlink"/>
          </w:rPr>
          <w:t xml:space="preserve">https://doi.org/10.1038/s41559-020-1274-7</w:t>
        </w:r>
      </w:hyperlink>
    </w:p>
    <w:bookmarkEnd w:id="112"/>
    <w:bookmarkStart w:id="114" w:name="ref-harfoot2018"/>
    <w:p>
      <w:pPr>
        <w:pStyle w:val="Bibliography"/>
      </w:pPr>
      <w:r>
        <w:t xml:space="preserve">Harfoot, M.B.J., Tittensor, D.P., Knight, S., Arnell, A.P., Blyth, S., Brooks, S., Butchart, S.H.M., Hutton, J., Jones, M.I., Kapos, V., Scharlemann, J.P.W., Burgess, N.D., 2018. Present and future biodiversity risks from fossil fuel exploitation. Conservation Letters 11, e12448.</w:t>
      </w:r>
      <w:r>
        <w:t xml:space="preserve"> </w:t>
      </w:r>
      <w:hyperlink r:id="rId113">
        <w:r>
          <w:rPr>
            <w:rStyle w:val="Hyperlink"/>
          </w:rPr>
          <w:t xml:space="preserve">https://doi.org/10.1111/conl.12448</w:t>
        </w:r>
      </w:hyperlink>
    </w:p>
    <w:bookmarkEnd w:id="114"/>
    <w:bookmarkStart w:id="116" w:name="ref-hedwall2019"/>
    <w:p>
      <w:pPr>
        <w:pStyle w:val="Bibliography"/>
      </w:pPr>
      <w:r>
        <w:t xml:space="preserve">Hedwall, P.-O., Gustafsson, L., Brunet, J., Lindbladh, M., Axelsson, A.-L., Strengbom, J., 2019. Half a century of multiple anthropogenic stressors has altered northern forest understory plant communities. ECOLOGICAL APPLICATIONS 29, e01874.</w:t>
      </w:r>
      <w:r>
        <w:t xml:space="preserve"> </w:t>
      </w:r>
      <w:hyperlink r:id="rId115">
        <w:r>
          <w:rPr>
            <w:rStyle w:val="Hyperlink"/>
          </w:rPr>
          <w:t xml:space="preserve">https://doi.org/10.1002/eap.1874</w:t>
        </w:r>
      </w:hyperlink>
    </w:p>
    <w:bookmarkEnd w:id="116"/>
    <w:bookmarkStart w:id="118"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17">
        <w:r>
          <w:rPr>
            <w:rStyle w:val="Hyperlink"/>
          </w:rPr>
          <w:t xml:space="preserve">https://doi.org/10.1016/j.rse.2014.11.005</w:t>
        </w:r>
      </w:hyperlink>
    </w:p>
    <w:bookmarkEnd w:id="118"/>
    <w:bookmarkStart w:id="120"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19">
        <w:r>
          <w:rPr>
            <w:rStyle w:val="Hyperlink"/>
          </w:rPr>
          <w:t xml:space="preserve">https://doi.org/10.1080/17538947.2016.1187673</w:t>
        </w:r>
      </w:hyperlink>
    </w:p>
    <w:bookmarkEnd w:id="120"/>
    <w:bookmarkStart w:id="122" w:name="ref-hernangómez2023"/>
    <w:p>
      <w:pPr>
        <w:pStyle w:val="Bibliography"/>
      </w:pPr>
      <w:r>
        <w:t xml:space="preserve">Hernangómez, D., 2023a. Using the tidyverse with terra objects: the tidyterra package. Journal of Open Source Software 8, 5751.</w:t>
      </w:r>
      <w:r>
        <w:t xml:space="preserve"> </w:t>
      </w:r>
      <w:hyperlink r:id="rId121">
        <w:r>
          <w:rPr>
            <w:rStyle w:val="Hyperlink"/>
          </w:rPr>
          <w:t xml:space="preserve">https://doi.org/10.21105/joss.05751</w:t>
        </w:r>
      </w:hyperlink>
    </w:p>
    <w:bookmarkEnd w:id="122"/>
    <w:bookmarkStart w:id="123" w:name="ref-R-tidyterra"/>
    <w:p>
      <w:pPr>
        <w:pStyle w:val="Bibliography"/>
      </w:pPr>
      <w:r>
        <w:t xml:space="preserve">Hernangómez, D., 2023b. Using the</w:t>
      </w:r>
      <w:r>
        <w:t xml:space="preserve"> </w:t>
      </w:r>
      <w:r>
        <w:t xml:space="preserve">tidyverse</w:t>
      </w:r>
      <w:r>
        <w:t xml:space="preserve"> </w:t>
      </w:r>
      <w:r>
        <w:t xml:space="preserve">with</w:t>
      </w:r>
      <w:r>
        <w:t xml:space="preserve"> </w:t>
      </w:r>
      <w:r>
        <w:t xml:space="preserve">terra</w:t>
      </w:r>
      <w:r>
        <w:t xml:space="preserve"> </w:t>
      </w:r>
      <w:r>
        <w:t xml:space="preserve">objects: The</w:t>
      </w:r>
      <w:r>
        <w:t xml:space="preserve"> </w:t>
      </w:r>
      <w:r>
        <w:t xml:space="preserve">tidyterra</w:t>
      </w:r>
      <w:r>
        <w:t xml:space="preserve"> </w:t>
      </w:r>
      <w:r>
        <w:t xml:space="preserve">package. Journal of Open Source Software 8, 5751.</w:t>
      </w:r>
      <w:r>
        <w:t xml:space="preserve"> </w:t>
      </w:r>
      <w:hyperlink r:id="rId121">
        <w:r>
          <w:rPr>
            <w:rStyle w:val="Hyperlink"/>
          </w:rPr>
          <w:t xml:space="preserve">https://doi.org/10.21105/joss.05751</w:t>
        </w:r>
      </w:hyperlink>
    </w:p>
    <w:bookmarkEnd w:id="123"/>
    <w:bookmarkStart w:id="125" w:name="ref-R-terra"/>
    <w:p>
      <w:pPr>
        <w:pStyle w:val="Bibliography"/>
      </w:pPr>
      <w:r>
        <w:t xml:space="preserve">Hijmans, R.J., 2024.</w:t>
      </w:r>
      <w:r>
        <w:t xml:space="preserve"> </w:t>
      </w:r>
      <w:hyperlink r:id="rId124">
        <w:r>
          <w:rPr>
            <w:rStyle w:val="Hyperlink"/>
          </w:rPr>
          <w:t xml:space="preserve">Terra: Spatial data analysis</w:t>
        </w:r>
      </w:hyperlink>
      <w:r>
        <w:t xml:space="preserve">.</w:t>
      </w:r>
    </w:p>
    <w:bookmarkEnd w:id="125"/>
    <w:bookmarkStart w:id="127"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26">
        <w:r>
          <w:rPr>
            <w:rStyle w:val="Hyperlink"/>
          </w:rPr>
          <w:t xml:space="preserve">https://doi.org/10.1139/facets-2021-0063</w:t>
        </w:r>
      </w:hyperlink>
    </w:p>
    <w:bookmarkEnd w:id="127"/>
    <w:bookmarkStart w:id="129" w:name="ref-hirsh-pearson"/>
    <w:p>
      <w:pPr>
        <w:pStyle w:val="Bibliography"/>
      </w:pPr>
      <w:r>
        <w:t xml:space="preserve">Hirsh-Pearson, K., Johnson, C., Schuster, R., Wheate, R., Venter, O., n.d. The Canadian Human Footprint.</w:t>
      </w:r>
      <w:r>
        <w:t xml:space="preserve"> </w:t>
      </w:r>
      <w:hyperlink r:id="rId128">
        <w:r>
          <w:rPr>
            <w:rStyle w:val="Hyperlink"/>
          </w:rPr>
          <w:t xml:space="preserve">https://doi.org/10.5683/SP2/EVKAVL</w:t>
        </w:r>
      </w:hyperlink>
    </w:p>
    <w:bookmarkEnd w:id="129"/>
    <w:bookmarkStart w:id="131"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30">
        <w:r>
          <w:rPr>
            <w:rStyle w:val="Hyperlink"/>
          </w:rPr>
          <w:t xml:space="preserve">https://doi.org/10.1890/130300</w:t>
        </w:r>
      </w:hyperlink>
    </w:p>
    <w:bookmarkEnd w:id="131"/>
    <w:bookmarkStart w:id="133"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32">
        <w:r>
          <w:rPr>
            <w:rStyle w:val="Hyperlink"/>
          </w:rPr>
          <w:t xml:space="preserve">https://doi.org/10.1016/S0034-4257(02)00096-2</w:t>
        </w:r>
      </w:hyperlink>
    </w:p>
    <w:bookmarkEnd w:id="133"/>
    <w:bookmarkStart w:id="135" w:name="ref-huete1997"/>
    <w:p>
      <w:pPr>
        <w:pStyle w:val="Bibliography"/>
      </w:pPr>
      <w:r>
        <w:t xml:space="preserve">Huete, A.R., Liu, H., Leeuwen, W.J.D. van, 1997. IGARSS’97. 1997 IEEE international geoscience and remote sensing symposium proceedings. Remote sensing - a scientific vision for sustainable development. pp. 1966–1968 vol.4.</w:t>
      </w:r>
      <w:r>
        <w:t xml:space="preserve"> </w:t>
      </w:r>
      <w:hyperlink r:id="rId134">
        <w:r>
          <w:rPr>
            <w:rStyle w:val="Hyperlink"/>
          </w:rPr>
          <w:t xml:space="preserve">https://doi.org/10.1109/IGARSS.1997.609169</w:t>
        </w:r>
      </w:hyperlink>
    </w:p>
    <w:bookmarkEnd w:id="135"/>
    <w:bookmarkStart w:id="137" w:name="ref-iacus2012"/>
    <w:p>
      <w:pPr>
        <w:pStyle w:val="Bibliography"/>
      </w:pPr>
      <w:r>
        <w:t xml:space="preserve">Iacus, S.M., King, G., Porro, G., 2012. Causal Inference without Balance Checking: Coarsened Exact Matching. Political Analysis 20, 1–24.</w:t>
      </w:r>
      <w:r>
        <w:t xml:space="preserve"> </w:t>
      </w:r>
      <w:hyperlink r:id="rId136">
        <w:r>
          <w:rPr>
            <w:rStyle w:val="Hyperlink"/>
          </w:rPr>
          <w:t xml:space="preserve">https://doi.org/10.1093/pan/mpr013</w:t>
        </w:r>
      </w:hyperlink>
    </w:p>
    <w:bookmarkEnd w:id="137"/>
    <w:bookmarkStart w:id="139" w:name="ref-joppa2009"/>
    <w:p>
      <w:pPr>
        <w:pStyle w:val="Bibliography"/>
      </w:pPr>
      <w:r>
        <w:t xml:space="preserve">Joppa, L.N., Pfaff, A., 2009. High and Far: Biases in the Location of Protected Areas. PLOS ONE 4, e8273.</w:t>
      </w:r>
      <w:r>
        <w:t xml:space="preserve"> </w:t>
      </w:r>
      <w:hyperlink r:id="rId138">
        <w:r>
          <w:rPr>
            <w:rStyle w:val="Hyperlink"/>
          </w:rPr>
          <w:t xml:space="preserve">https://doi.org/10.1371/journal.pone.0008273</w:t>
        </w:r>
      </w:hyperlink>
    </w:p>
    <w:bookmarkEnd w:id="139"/>
    <w:bookmarkStart w:id="141" w:name="ref-R-rstatix"/>
    <w:p>
      <w:pPr>
        <w:pStyle w:val="Bibliography"/>
      </w:pPr>
      <w:r>
        <w:t xml:space="preserve">Kassambara, A., 2023.</w:t>
      </w:r>
      <w:r>
        <w:t xml:space="preserve"> </w:t>
      </w:r>
      <w:hyperlink r:id="rId140">
        <w:r>
          <w:rPr>
            <w:rStyle w:val="Hyperlink"/>
          </w:rPr>
          <w:t xml:space="preserve">Rstatix: Pipe-friendly framework for basic statistical tests</w:t>
        </w:r>
      </w:hyperlink>
      <w:r>
        <w:t xml:space="preserve">.</w:t>
      </w:r>
    </w:p>
    <w:bookmarkEnd w:id="141"/>
    <w:bookmarkStart w:id="143" w:name="ref-keyser2024"/>
    <w:p>
      <w:pPr>
        <w:pStyle w:val="Bibliography"/>
      </w:pPr>
      <w:r>
        <w:t xml:space="preserve">Keyser, S.R., Pauli, J.N., Fink, D., Radeloff, V.C., Pigot, A.L., Zuckerberg, B., 2024. Seasonality Structures Avian Functional Diversity and Niche Packing Across North America. Ecology Letters 27, e14521.</w:t>
      </w:r>
      <w:r>
        <w:t xml:space="preserve"> </w:t>
      </w:r>
      <w:hyperlink r:id="rId142">
        <w:r>
          <w:rPr>
            <w:rStyle w:val="Hyperlink"/>
          </w:rPr>
          <w:t xml:space="preserve">https://doi.org/10.1111/ele.14521</w:t>
        </w:r>
      </w:hyperlink>
    </w:p>
    <w:bookmarkEnd w:id="143"/>
    <w:bookmarkStart w:id="145"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44">
        <w:r>
          <w:rPr>
            <w:rStyle w:val="Hyperlink"/>
          </w:rPr>
          <w:t xml:space="preserve">https://doi.org/10.1038/s41893-022-01020-5</w:t>
        </w:r>
      </w:hyperlink>
    </w:p>
    <w:bookmarkEnd w:id="145"/>
    <w:bookmarkStart w:id="147" w:name="ref-lieffers2020"/>
    <w:p>
      <w:pPr>
        <w:pStyle w:val="Bibliography"/>
      </w:pPr>
      <w:r>
        <w:t xml:space="preserve">Lieffers, V.J., Pinno, B.D., Beverly, J.L., Thomas, B.R., Nock, C., 2020. Reforestation policy has constrained options for managing risks on public forests. Canadian Journal of Forest Research 50, 855–861.</w:t>
      </w:r>
      <w:r>
        <w:t xml:space="preserve"> </w:t>
      </w:r>
      <w:hyperlink r:id="rId146">
        <w:r>
          <w:rPr>
            <w:rStyle w:val="Hyperlink"/>
          </w:rPr>
          <w:t xml:space="preserve">https://doi.org/10.1139/cjfr-2019-0422</w:t>
        </w:r>
      </w:hyperlink>
    </w:p>
    <w:bookmarkEnd w:id="147"/>
    <w:bookmarkStart w:id="149" w:name="ref-liira2007"/>
    <w:p>
      <w:pPr>
        <w:pStyle w:val="Bibliography"/>
      </w:pPr>
      <w:r>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w:t>
      </w:r>
      <w:r>
        <w:t xml:space="preserve"> </w:t>
      </w:r>
      <w:hyperlink r:id="rId148">
        <w:r>
          <w:rPr>
            <w:rStyle w:val="Hyperlink"/>
          </w:rPr>
          <w:t xml:space="preserve">https://doi.org/10.1016/j.foreco.2007.03.007</w:t>
        </w:r>
      </w:hyperlink>
    </w:p>
    <w:bookmarkEnd w:id="149"/>
    <w:bookmarkStart w:id="151" w:name="ref-macarthur1961"/>
    <w:p>
      <w:pPr>
        <w:pStyle w:val="Bibliography"/>
      </w:pPr>
      <w:r>
        <w:t xml:space="preserve">Macarthur, R., Macarthur, J., 1961. On bird species-diversity. Ecology 42, 594– &amp;.</w:t>
      </w:r>
      <w:r>
        <w:t xml:space="preserve"> </w:t>
      </w:r>
      <w:hyperlink r:id="rId150">
        <w:r>
          <w:rPr>
            <w:rStyle w:val="Hyperlink"/>
          </w:rPr>
          <w:t xml:space="preserve">https://doi.org/10.2307/1932254</w:t>
        </w:r>
      </w:hyperlink>
    </w:p>
    <w:bookmarkEnd w:id="151"/>
    <w:bookmarkStart w:id="152" w:name="ref-mahalanobis1936generalized"/>
    <w:p>
      <w:pPr>
        <w:pStyle w:val="Bibliography"/>
      </w:pPr>
      <w:r>
        <w:t xml:space="preserve">Mahalanobis, P.C., 1936. On the generalized distance in statistics. Proceedings of the National Institute of Sciences (Calcutta) 2, 4955.</w:t>
      </w:r>
    </w:p>
    <w:bookmarkEnd w:id="152"/>
    <w:bookmarkStart w:id="154"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53">
        <w:r>
          <w:rPr>
            <w:rStyle w:val="Hyperlink"/>
          </w:rPr>
          <w:t xml:space="preserve">https://doi.org/10.1111/gcb.13645</w:t>
        </w:r>
      </w:hyperlink>
    </w:p>
    <w:bookmarkEnd w:id="154"/>
    <w:bookmarkStart w:id="156"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55">
        <w:r>
          <w:rPr>
            <w:rStyle w:val="Hyperlink"/>
          </w:rPr>
          <w:t xml:space="preserve">https://doi.org/10.1016/j.ecolind.2021.107839</w:t>
        </w:r>
      </w:hyperlink>
    </w:p>
    <w:bookmarkEnd w:id="156"/>
    <w:bookmarkStart w:id="158"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57">
        <w:r>
          <w:rPr>
            <w:rStyle w:val="Hyperlink"/>
          </w:rPr>
          <w:t xml:space="preserve">https://doi.org/10.1016/j.rse.2018.07.024</w:t>
        </w:r>
      </w:hyperlink>
    </w:p>
    <w:bookmarkEnd w:id="158"/>
    <w:bookmarkStart w:id="160"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59">
        <w:r>
          <w:rPr>
            <w:rStyle w:val="Hyperlink"/>
          </w:rPr>
          <w:t xml:space="preserve">https://doi.org/10.1016/j.rse.2017.12.020</w:t>
        </w:r>
      </w:hyperlink>
    </w:p>
    <w:bookmarkEnd w:id="160"/>
    <w:bookmarkStart w:id="162" w:name="ref-mcgill2015"/>
    <w:p>
      <w:pPr>
        <w:pStyle w:val="Bibliography"/>
      </w:pPr>
      <w:r>
        <w:t xml:space="preserve">McGill, B.J., Dornelas, M., Gotelli, N.J., Magurran, A.E., 2015. Fifteen forms of biodiversity trend in the Anthropocene. Trends in Ecology &amp; Evolution 30, 104–113.</w:t>
      </w:r>
      <w:r>
        <w:t xml:space="preserve"> </w:t>
      </w:r>
      <w:hyperlink r:id="rId161">
        <w:r>
          <w:rPr>
            <w:rStyle w:val="Hyperlink"/>
          </w:rPr>
          <w:t xml:space="preserve">https://doi.org/10.1016/j.tree.2014.11.006</w:t>
        </w:r>
      </w:hyperlink>
    </w:p>
    <w:bookmarkEnd w:id="162"/>
    <w:bookmarkStart w:id="164"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63">
        <w:r>
          <w:rPr>
            <w:rStyle w:val="Hyperlink"/>
          </w:rPr>
          <w:t xml:space="preserve">https://doi.org/10.1111/gcb.15383</w:t>
        </w:r>
      </w:hyperlink>
    </w:p>
    <w:bookmarkEnd w:id="164"/>
    <w:bookmarkStart w:id="166"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65">
        <w:r>
          <w:rPr>
            <w:rStyle w:val="Hyperlink"/>
          </w:rPr>
          <w:t xml:space="preserve">https://doi.org/10.1016/j.rse.2014.06.005</w:t>
        </w:r>
      </w:hyperlink>
    </w:p>
    <w:bookmarkEnd w:id="166"/>
    <w:bookmarkStart w:id="168"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67">
        <w:r>
          <w:rPr>
            <w:rStyle w:val="Hyperlink"/>
          </w:rPr>
          <w:t xml:space="preserve">https://doi.org/10.1002/eap.2603</w:t>
        </w:r>
      </w:hyperlink>
    </w:p>
    <w:bookmarkEnd w:id="168"/>
    <w:bookmarkStart w:id="170"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69">
        <w:r>
          <w:rPr>
            <w:rStyle w:val="Hyperlink"/>
          </w:rPr>
          <w:t xml:space="preserve">https://doi.org/10.1007/BF02240252</w:t>
        </w:r>
      </w:hyperlink>
    </w:p>
    <w:bookmarkEnd w:id="170"/>
    <w:bookmarkStart w:id="172" w:name="ref-neumann2019"/>
    <w:p>
      <w:pPr>
        <w:pStyle w:val="Bibliography"/>
      </w:pPr>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w:t>
      </w:r>
      <w:r>
        <w:t xml:space="preserve"> </w:t>
      </w:r>
      <w:r>
        <w:t xml:space="preserve"> </w:t>
      </w:r>
      <w:r>
        <w:t xml:space="preserve">2 mission: A global geolocated photon product derived from the Advanced Topographic Laser Altimeter System. Remote Sensing of Environment 233, 111325.</w:t>
      </w:r>
      <w:r>
        <w:t xml:space="preserve"> </w:t>
      </w:r>
      <w:hyperlink r:id="rId171">
        <w:r>
          <w:rPr>
            <w:rStyle w:val="Hyperlink"/>
          </w:rPr>
          <w:t xml:space="preserve">https://doi.org/10.1016/j.rse.2019.111325</w:t>
        </w:r>
      </w:hyperlink>
    </w:p>
    <w:bookmarkEnd w:id="172"/>
    <w:bookmarkStart w:id="174"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73">
        <w:r>
          <w:rPr>
            <w:rStyle w:val="Hyperlink"/>
          </w:rPr>
          <w:t xml:space="preserve">https://doi.org/10.1016/j.biocon.2007.02.024</w:t>
        </w:r>
      </w:hyperlink>
    </w:p>
    <w:bookmarkEnd w:id="174"/>
    <w:bookmarkStart w:id="176" w:name="ref-noss1990"/>
    <w:p>
      <w:pPr>
        <w:pStyle w:val="Bibliography"/>
      </w:pPr>
      <w:r>
        <w:t xml:space="preserve">Noss, R.F., 1990. Indicators for Monitoring Biodiversity: A Hierarchical Approach. Conservation Biology 4, 355–364.</w:t>
      </w:r>
      <w:r>
        <w:t xml:space="preserve"> </w:t>
      </w:r>
      <w:hyperlink r:id="rId175">
        <w:r>
          <w:rPr>
            <w:rStyle w:val="Hyperlink"/>
          </w:rPr>
          <w:t xml:space="preserve">https://doi.org/10.1111/j.1523-1739.1990.tb00309.x</w:t>
        </w:r>
      </w:hyperlink>
    </w:p>
    <w:bookmarkEnd w:id="176"/>
    <w:bookmarkStart w:id="178"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77">
        <w:r>
          <w:rPr>
            <w:rStyle w:val="Hyperlink"/>
          </w:rPr>
          <w:t xml:space="preserve">https://doi.org/10.3389/fenvs.2024.1333762</w:t>
        </w:r>
      </w:hyperlink>
    </w:p>
    <w:bookmarkEnd w:id="178"/>
    <w:bookmarkStart w:id="180" w:name="ref-parkact"/>
    <w:p>
      <w:pPr>
        <w:pStyle w:val="Bibliography"/>
      </w:pPr>
      <w:hyperlink r:id="rId179">
        <w:r>
          <w:rPr>
            <w:rStyle w:val="Hyperlink"/>
          </w:rPr>
          <w:t xml:space="preserve">Park</w:t>
        </w:r>
        <w:r>
          <w:rPr>
            <w:rStyle w:val="Hyperlink"/>
          </w:rPr>
          <w:t xml:space="preserve"> </w:t>
        </w:r>
        <w:r>
          <w:rPr>
            <w:rStyle w:val="Hyperlink"/>
          </w:rPr>
          <w:t xml:space="preserve">Act</w:t>
        </w:r>
      </w:hyperlink>
      <w:r>
        <w:t xml:space="preserve">, n.d. RSBC 1996, c 344.</w:t>
      </w:r>
    </w:p>
    <w:bookmarkEnd w:id="180"/>
    <w:bookmarkStart w:id="182" w:name="ref-sf2018"/>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 439–446.</w:t>
      </w:r>
      <w:r>
        <w:t xml:space="preserve"> </w:t>
      </w:r>
      <w:hyperlink r:id="rId181">
        <w:r>
          <w:rPr>
            <w:rStyle w:val="Hyperlink"/>
          </w:rPr>
          <w:t xml:space="preserve">https://doi.org/10.32614/RJ-2018-009</w:t>
        </w:r>
      </w:hyperlink>
    </w:p>
    <w:bookmarkEnd w:id="182"/>
    <w:bookmarkStart w:id="184" w:name="ref-sf2023"/>
    <w:p>
      <w:pPr>
        <w:pStyle w:val="Bibliography"/>
      </w:pPr>
      <w:r>
        <w:t xml:space="preserve">Pebesma, E., Bivand, R., 2023.</w:t>
      </w:r>
      <w:r>
        <w:t xml:space="preserve"> </w:t>
      </w:r>
      <w:r>
        <w:t xml:space="preserve">Spatial Data Science: With applications in R</w:t>
      </w:r>
      <w:r>
        <w:t xml:space="preserve">.</w:t>
      </w:r>
      <w:r>
        <w:t xml:space="preserve"> </w:t>
      </w:r>
      <w:r>
        <w:t xml:space="preserve">Chapman and Hall/CRC</w:t>
      </w:r>
      <w:r>
        <w:t xml:space="preserve">.</w:t>
      </w:r>
      <w:r>
        <w:t xml:space="preserve"> </w:t>
      </w:r>
      <w:hyperlink r:id="rId183">
        <w:r>
          <w:rPr>
            <w:rStyle w:val="Hyperlink"/>
          </w:rPr>
          <w:t xml:space="preserve">https://doi.org/10.1201/9780429459016</w:t>
        </w:r>
      </w:hyperlink>
    </w:p>
    <w:bookmarkEnd w:id="184"/>
    <w:bookmarkStart w:id="186"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85">
        <w:r>
          <w:rPr>
            <w:rStyle w:val="Hyperlink"/>
          </w:rPr>
          <w:t xml:space="preserve">https://doi.org/10.1126/science.1229931</w:t>
        </w:r>
      </w:hyperlink>
    </w:p>
    <w:bookmarkEnd w:id="186"/>
    <w:bookmarkStart w:id="188"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87">
        <w:r>
          <w:rPr>
            <w:rStyle w:val="Hyperlink"/>
          </w:rPr>
          <w:t xml:space="preserve">https://doi.org/10.1002/rse2.59</w:t>
        </w:r>
      </w:hyperlink>
    </w:p>
    <w:bookmarkEnd w:id="188"/>
    <w:bookmarkStart w:id="190"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89">
        <w:r>
          <w:rPr>
            <w:rStyle w:val="Hyperlink"/>
          </w:rPr>
          <w:t xml:space="preserve">https://doi.org/10.1016/j.tree.2005.05.011</w:t>
        </w:r>
      </w:hyperlink>
    </w:p>
    <w:bookmarkEnd w:id="190"/>
    <w:bookmarkStart w:id="192" w:name="ref-pimm2000"/>
    <w:p>
      <w:pPr>
        <w:pStyle w:val="Bibliography"/>
      </w:pPr>
      <w:r>
        <w:t xml:space="preserve">Pimm, S.L., Raven, P., 2000. Extinction by numbers. Nature 403, 843–845.</w:t>
      </w:r>
      <w:r>
        <w:t xml:space="preserve"> </w:t>
      </w:r>
      <w:hyperlink r:id="rId191">
        <w:r>
          <w:rPr>
            <w:rStyle w:val="Hyperlink"/>
          </w:rPr>
          <w:t xml:space="preserve">https://doi.org/10.1038/35002708</w:t>
        </w:r>
      </w:hyperlink>
    </w:p>
    <w:bookmarkEnd w:id="192"/>
    <w:bookmarkStart w:id="194" w:name="ref-pojar1987"/>
    <w:p>
      <w:pPr>
        <w:pStyle w:val="Bibliography"/>
      </w:pPr>
      <w:r>
        <w:t xml:space="preserve">Pojar, J., Klinka, K., Meidinger, D.V., 1987. Biogeoclimatic ecosystem classification in British Columbia. Forest Ecology and Management 22, 119–154.</w:t>
      </w:r>
      <w:r>
        <w:t xml:space="preserve"> </w:t>
      </w:r>
      <w:hyperlink r:id="rId193">
        <w:r>
          <w:rPr>
            <w:rStyle w:val="Hyperlink"/>
          </w:rPr>
          <w:t xml:space="preserve">https://doi.org/10.1016/0378-1127(87)90100-9</w:t>
        </w:r>
      </w:hyperlink>
    </w:p>
    <w:bookmarkEnd w:id="194"/>
    <w:bookmarkStart w:id="196"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95">
        <w:r>
          <w:rPr>
            <w:rStyle w:val="Hyperlink"/>
          </w:rPr>
          <w:t xml:space="preserve">https://doi.org/10.1016/j.rse.2021.112510</w:t>
        </w:r>
      </w:hyperlink>
    </w:p>
    <w:bookmarkEnd w:id="196"/>
    <w:bookmarkStart w:id="198" w:name="ref-R-base"/>
    <w:p>
      <w:pPr>
        <w:pStyle w:val="Bibliography"/>
      </w:pPr>
      <w:r>
        <w:t xml:space="preserve">R Core Team, 2024.</w:t>
      </w:r>
      <w:r>
        <w:t xml:space="preserve"> </w:t>
      </w:r>
      <w:hyperlink r:id="rId197">
        <w:r>
          <w:rPr>
            <w:rStyle w:val="Hyperlink"/>
          </w:rPr>
          <w:t xml:space="preserve">R: A language and environment for statistical computing</w:t>
        </w:r>
      </w:hyperlink>
      <w:r>
        <w:t xml:space="preserve">. R Foundation for Statistical Computing, Vienna, Austria.</w:t>
      </w:r>
    </w:p>
    <w:bookmarkEnd w:id="198"/>
    <w:bookmarkStart w:id="200"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99">
        <w:r>
          <w:rPr>
            <w:rStyle w:val="Hyperlink"/>
          </w:rPr>
          <w:t xml:space="preserve">https://doi.org/10.1016/j.rse.2018.12.009</w:t>
        </w:r>
      </w:hyperlink>
    </w:p>
    <w:bookmarkEnd w:id="200"/>
    <w:bookmarkStart w:id="202"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201">
        <w:r>
          <w:rPr>
            <w:rStyle w:val="Hyperlink"/>
          </w:rPr>
          <w:t xml:space="preserve">https://doi.org/10.1016/j.rse.2023.113918</w:t>
        </w:r>
      </w:hyperlink>
    </w:p>
    <w:bookmarkEnd w:id="202"/>
    <w:bookmarkStart w:id="204" w:name="ref-razenkova2022"/>
    <w:p>
      <w:pPr>
        <w:pStyle w:val="Bibliography"/>
      </w:pPr>
      <w:r>
        <w:t xml:space="preserve">Razenkova, E., Farwell, L.S., Elsen, P., Carroll, K.A., Pidgeon, A.M., Radeloff, V., 2022.</w:t>
      </w:r>
      <w:r>
        <w:t xml:space="preserve"> </w:t>
      </w:r>
      <w:hyperlink r:id="rId203">
        <w:r>
          <w:rPr>
            <w:rStyle w:val="Hyperlink"/>
          </w:rPr>
          <w:t xml:space="preserve">Explaining bird richness with the dynamic habitat indices across the conterminous US</w:t>
        </w:r>
      </w:hyperlink>
      <w:r>
        <w:t xml:space="preserve"> </w:t>
      </w:r>
      <w:r>
        <w:t xml:space="preserve">2022, B15A–05.</w:t>
      </w:r>
    </w:p>
    <w:bookmarkEnd w:id="204"/>
    <w:bookmarkStart w:id="205" w:name="ref-razenkova"/>
    <w:p>
      <w:pPr>
        <w:pStyle w:val="Bibliography"/>
      </w:pPr>
      <w:r>
        <w:t xml:space="preserve">Razenkova, E., Lewińska, K.E., Yin, H., Farwell, L.S., Pidgeon, A.M., Hostert, P., Coops, N.C., Radeloff, V.C., n.d. Medium-resolution dynamic habitat indices from landsat satellite imagery. Remote Sensing of Environment.</w:t>
      </w:r>
    </w:p>
    <w:bookmarkEnd w:id="205"/>
    <w:bookmarkStart w:id="207" w:name="ref-roman2018"/>
    <w:p>
      <w:pPr>
        <w:pStyle w:val="Bibliography"/>
      </w:pPr>
      <w:r>
        <w:t xml:space="preserve">Roman, L.A., Pearsall, H., Eisenman, T.S., Conway, T.M., Fahey, R.T., Landry, S., Vogt, J., Doorn, N.S. van, Grove, J.M., Locke, D.H., Bardekjian, A.C., Battles, J.J., Cadenasso, M.L., Bosch, C.C.K. van den, Avolio, M., Berland, A., Jenerette, G.D., Mincey, S.K., Pataki, D.E., Staudhammer, C., 2018. Human and biophysical legacies shape contemporary urban forests: A literature synthesis. Urban Forestry &amp; Urban Greening 31, 157–168.</w:t>
      </w:r>
      <w:r>
        <w:t xml:space="preserve"> </w:t>
      </w:r>
      <w:hyperlink r:id="rId206">
        <w:r>
          <w:rPr>
            <w:rStyle w:val="Hyperlink"/>
          </w:rPr>
          <w:t xml:space="preserve">https://doi.org/10.1016/j.ufug.2018.03.004</w:t>
        </w:r>
      </w:hyperlink>
    </w:p>
    <w:bookmarkEnd w:id="207"/>
    <w:bookmarkStart w:id="209" w:name="ref-schweiger2018"/>
    <w:p>
      <w:pPr>
        <w:pStyle w:val="Bibliography"/>
      </w:pPr>
      <w:r>
        <w:t xml:space="preserve">Schweiger, A.K., Cavender-Bares, J., Townsend, P.A., Hobbie, S.E., Madritch, M.D., Wang, R., Tilman, D., Gamon, J.A., 2018. Plant spectral diversity integrates functional and phylogenetic components of biodiversity and predicts ecosystem function. Nature Ecology &amp; Evolution 2, 976–982.</w:t>
      </w:r>
      <w:r>
        <w:t xml:space="preserve"> </w:t>
      </w:r>
      <w:hyperlink r:id="rId208">
        <w:r>
          <w:rPr>
            <w:rStyle w:val="Hyperlink"/>
          </w:rPr>
          <w:t xml:space="preserve">https://doi.org/10.1038/s41559-018-0551-1</w:t>
        </w:r>
      </w:hyperlink>
    </w:p>
    <w:bookmarkEnd w:id="209"/>
    <w:bookmarkStart w:id="211"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210">
        <w:r>
          <w:rPr>
            <w:rStyle w:val="Hyperlink"/>
          </w:rPr>
          <w:t xml:space="preserve">https://doi.org/10.1038/s41559-021-01451-x</w:t>
        </w:r>
      </w:hyperlink>
    </w:p>
    <w:bookmarkEnd w:id="211"/>
    <w:bookmarkStart w:id="213"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212">
        <w:r>
          <w:rPr>
            <w:rStyle w:val="Hyperlink"/>
          </w:rPr>
          <w:t xml:space="preserve">https://doi.org/10.1016/j.gecco.2021.e01718</w:t>
        </w:r>
      </w:hyperlink>
    </w:p>
    <w:bookmarkEnd w:id="213"/>
    <w:bookmarkStart w:id="215" w:name="ref-tachikawa2011"/>
    <w:p>
      <w:pPr>
        <w:pStyle w:val="Bibliography"/>
      </w:pPr>
      <w:r>
        <w:t xml:space="preserve">Tachikawa, T., Kaku, M., Iwasaki, A., Gesch, D.B., Oimoen, M.J., Zhang, Z., Danielson, J.J., Krieger, T., Curtis, B., Haase, J., Abrams, M., Carabajal, C., 2011.</w:t>
      </w:r>
      <w:r>
        <w:t xml:space="preserve"> </w:t>
      </w:r>
      <w:hyperlink r:id="rId214">
        <w:r>
          <w:rPr>
            <w:rStyle w:val="Hyperlink"/>
          </w:rPr>
          <w:t xml:space="preserve">ASTER global digital elevation model version 2 - summary of validation results</w:t>
        </w:r>
      </w:hyperlink>
      <w:r>
        <w:t xml:space="preserve">.</w:t>
      </w:r>
    </w:p>
    <w:bookmarkEnd w:id="215"/>
    <w:bookmarkStart w:id="216"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216"/>
    <w:bookmarkStart w:id="217"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217"/>
    <w:bookmarkStart w:id="219" w:name="ref-urban2015"/>
    <w:p>
      <w:pPr>
        <w:pStyle w:val="Bibliography"/>
      </w:pPr>
      <w:r>
        <w:t xml:space="preserve">Urban, M.C., 2015. Accelerating extinction risk from climate change. Science 348, 571–573.</w:t>
      </w:r>
      <w:r>
        <w:t xml:space="preserve"> </w:t>
      </w:r>
      <w:hyperlink r:id="rId218">
        <w:r>
          <w:rPr>
            <w:rStyle w:val="Hyperlink"/>
          </w:rPr>
          <w:t xml:space="preserve">https://doi.org/10.1126/science.aaa4984</w:t>
        </w:r>
      </w:hyperlink>
    </w:p>
    <w:bookmarkEnd w:id="219"/>
    <w:bookmarkStart w:id="221" w:name="ref-walter2021"/>
    <w:p>
      <w:pPr>
        <w:pStyle w:val="Bibliography"/>
      </w:pPr>
      <w:r>
        <w:t xml:space="preserve">Walter, J.A., Stovall, A.E.L., Atkins, J.W., 2021. Vegetation structural complexity and biodiversity in the Great Smoky Mountains. Ecosphere 12, e03390.</w:t>
      </w:r>
      <w:r>
        <w:t xml:space="preserve"> </w:t>
      </w:r>
      <w:hyperlink r:id="rId220">
        <w:r>
          <w:rPr>
            <w:rStyle w:val="Hyperlink"/>
          </w:rPr>
          <w:t xml:space="preserve">https://doi.org/10.1002/ecs2.3390</w:t>
        </w:r>
      </w:hyperlink>
    </w:p>
    <w:bookmarkEnd w:id="221"/>
    <w:bookmarkStart w:id="223" w:name="ref-waring2006"/>
    <w:p>
      <w:pPr>
        <w:pStyle w:val="Bibliography"/>
      </w:pPr>
      <w:r>
        <w:t xml:space="preserve">Waring, R.H., Coops, N.C., Fan, W., Nightingale, J.M., 2006. MODIS enhanced vegetation index predicts tree species richness across forested ecoregions in the contiguous U.S.A. Remote Sensing of Environment 103, 218–226.</w:t>
      </w:r>
      <w:r>
        <w:t xml:space="preserve"> </w:t>
      </w:r>
      <w:hyperlink r:id="rId222">
        <w:r>
          <w:rPr>
            <w:rStyle w:val="Hyperlink"/>
          </w:rPr>
          <w:t xml:space="preserve">https://doi.org/10.1016/j.rse.2006.05.007</w:t>
        </w:r>
      </w:hyperlink>
    </w:p>
    <w:bookmarkEnd w:id="223"/>
    <w:bookmarkStart w:id="225"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224">
        <w:r>
          <w:rPr>
            <w:rStyle w:val="Hyperlink"/>
          </w:rPr>
          <w:t xml:space="preserve">https://doi.org/10.1080/07038992.2014.945827</w:t>
        </w:r>
      </w:hyperlink>
    </w:p>
    <w:bookmarkEnd w:id="225"/>
    <w:bookmarkStart w:id="227" w:name="ref-zhu2012"/>
    <w:p>
      <w:pPr>
        <w:pStyle w:val="Bibliography"/>
      </w:pPr>
      <w:r>
        <w:t xml:space="preserve">Zhu, Z., Woodcock, C.E., 2012. Object-based cloud and cloud shadow detection in Landsat imagery. Remote Sensing of Environment 118, 83–94.</w:t>
      </w:r>
      <w:r>
        <w:t xml:space="preserve"> </w:t>
      </w:r>
      <w:hyperlink r:id="rId226">
        <w:r>
          <w:rPr>
            <w:rStyle w:val="Hyperlink"/>
          </w:rPr>
          <w:t xml:space="preserve">https://doi.org/10.1016/j.rse.2011.10.028</w:t>
        </w:r>
      </w:hyperlink>
    </w:p>
    <w:bookmarkEnd w:id="227"/>
    <w:bookmarkEnd w:id="228"/>
    <w:bookmarkEnd w:id="229"/>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21" Target="media/rId21.png" /><Relationship Type="http://schemas.openxmlformats.org/officeDocument/2006/relationships/hyperlink" Id="rId214"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5" Target="https://doi.org/10.1002/eap.1874" TargetMode="External" /><Relationship Type="http://schemas.openxmlformats.org/officeDocument/2006/relationships/hyperlink" Id="rId167" Target="https://doi.org/10.1002/eap.2603" TargetMode="External" /><Relationship Type="http://schemas.openxmlformats.org/officeDocument/2006/relationships/hyperlink" Id="rId220"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7" Target="https://doi.org/10.1002/rse2.59" TargetMode="External" /><Relationship Type="http://schemas.openxmlformats.org/officeDocument/2006/relationships/hyperlink" Id="rId169" Target="https://doi.org/10.1007/BF02240252" TargetMode="External" /><Relationship Type="http://schemas.openxmlformats.org/officeDocument/2006/relationships/hyperlink" Id="rId193" Target="https://doi.org/10.1016/0378-1127(87)90100-9" TargetMode="External" /><Relationship Type="http://schemas.openxmlformats.org/officeDocument/2006/relationships/hyperlink" Id="rId132" Target="https://doi.org/10.1016/S0034-4257(02)00096-2" TargetMode="External" /><Relationship Type="http://schemas.openxmlformats.org/officeDocument/2006/relationships/hyperlink" Id="rId173"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5"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48" Target="https://doi.org/10.1016/j.foreco.2007.03.007" TargetMode="External" /><Relationship Type="http://schemas.openxmlformats.org/officeDocument/2006/relationships/hyperlink" Id="rId212"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2" Target="https://doi.org/10.1016/j.rse.2006.05.007" TargetMode="External" /><Relationship Type="http://schemas.openxmlformats.org/officeDocument/2006/relationships/hyperlink" Id="rId226" Target="https://doi.org/10.1016/j.rse.2011.10.028" TargetMode="External" /><Relationship Type="http://schemas.openxmlformats.org/officeDocument/2006/relationships/hyperlink" Id="rId165" Target="https://doi.org/10.1016/j.rse.2014.06.005" TargetMode="External" /><Relationship Type="http://schemas.openxmlformats.org/officeDocument/2006/relationships/hyperlink" Id="rId117"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59" Target="https://doi.org/10.1016/j.rse.2017.12.020" TargetMode="External" /><Relationship Type="http://schemas.openxmlformats.org/officeDocument/2006/relationships/hyperlink" Id="rId157" Target="https://doi.org/10.1016/j.rse.2018.07.024" TargetMode="External" /><Relationship Type="http://schemas.openxmlformats.org/officeDocument/2006/relationships/hyperlink" Id="rId199" Target="https://doi.org/10.1016/j.rse.2018.12.009" TargetMode="External" /><Relationship Type="http://schemas.openxmlformats.org/officeDocument/2006/relationships/hyperlink" Id="rId171" Target="https://doi.org/10.1016/j.rse.2019.111325" TargetMode="External" /><Relationship Type="http://schemas.openxmlformats.org/officeDocument/2006/relationships/hyperlink" Id="rId195" Target="https://doi.org/10.1016/j.rse.2021.112510" TargetMode="External" /><Relationship Type="http://schemas.openxmlformats.org/officeDocument/2006/relationships/hyperlink" Id="rId201"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89" Target="https://doi.org/10.1016/j.tree.2005.05.011" TargetMode="External" /><Relationship Type="http://schemas.openxmlformats.org/officeDocument/2006/relationships/hyperlink" Id="rId161"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6" Target="https://doi.org/10.1016/j.ufug.2018.03.004" TargetMode="External" /><Relationship Type="http://schemas.openxmlformats.org/officeDocument/2006/relationships/hyperlink" Id="rId191"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08"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0"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4"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4" Target="https://doi.org/10.1080/07038992.2014.945827" TargetMode="External" /><Relationship Type="http://schemas.openxmlformats.org/officeDocument/2006/relationships/hyperlink" Id="rId119"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6" Target="https://doi.org/10.1093/pan/mpr013" TargetMode="External" /><Relationship Type="http://schemas.openxmlformats.org/officeDocument/2006/relationships/hyperlink" Id="rId134"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3" Target="https://doi.org/10.1111/conl.12448" TargetMode="External" /><Relationship Type="http://schemas.openxmlformats.org/officeDocument/2006/relationships/hyperlink" Id="rId142" Target="https://doi.org/10.1111/ele.14521" TargetMode="External" /><Relationship Type="http://schemas.openxmlformats.org/officeDocument/2006/relationships/hyperlink" Id="rId153" Target="https://doi.org/10.1111/gcb.13645" TargetMode="External" /><Relationship Type="http://schemas.openxmlformats.org/officeDocument/2006/relationships/hyperlink" Id="rId163"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5" Target="https://doi.org/10.1111/j.1523-1739.1990.tb00309.x" TargetMode="External" /><Relationship Type="http://schemas.openxmlformats.org/officeDocument/2006/relationships/hyperlink" Id="rId185" Target="https://doi.org/10.1126/science.1229931" TargetMode="External" /><Relationship Type="http://schemas.openxmlformats.org/officeDocument/2006/relationships/hyperlink" Id="rId218" Target="https://doi.org/10.1126/science.aaa4984" TargetMode="External" /><Relationship Type="http://schemas.openxmlformats.org/officeDocument/2006/relationships/hyperlink" Id="rId146" Target="https://doi.org/10.1139/cjfr-2019-0422" TargetMode="External" /><Relationship Type="http://schemas.openxmlformats.org/officeDocument/2006/relationships/hyperlink" Id="rId126"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3" Target="https://doi.org/10.1201/9780429459016" TargetMode="External" /><Relationship Type="http://schemas.openxmlformats.org/officeDocument/2006/relationships/hyperlink" Id="rId138" Target="https://doi.org/10.1371/journal.pone.0008273" TargetMode="External" /><Relationship Type="http://schemas.openxmlformats.org/officeDocument/2006/relationships/hyperlink" Id="rId130" Target="https://doi.org/10.1890/130300" TargetMode="External" /><Relationship Type="http://schemas.openxmlformats.org/officeDocument/2006/relationships/hyperlink" Id="rId121"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0"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1" Target="https://doi.org/10.32614/RJ-2018-009" TargetMode="External" /><Relationship Type="http://schemas.openxmlformats.org/officeDocument/2006/relationships/hyperlink" Id="rId177" Target="https://doi.org/10.3389/fenvs.2024.1333762" TargetMode="External" /><Relationship Type="http://schemas.openxmlformats.org/officeDocument/2006/relationships/hyperlink" Id="rId128" Target="https://doi.org/10.5683/SP2/EVKAVL" TargetMode="External" /><Relationship Type="http://schemas.openxmlformats.org/officeDocument/2006/relationships/hyperlink" Id="rId140" Target="https://rpkgs.datanovia.com/rstatix/" TargetMode="External" /><Relationship Type="http://schemas.openxmlformats.org/officeDocument/2006/relationships/hyperlink" Id="rId124" Target="https://rspatial.org/" TargetMode="External" /><Relationship Type="http://schemas.openxmlformats.org/officeDocument/2006/relationships/hyperlink" Id="rId203" Target="https://ui.adsabs.harvard.edu/abs/2022AGUFM.B15A..05R" TargetMode="External" /><Relationship Type="http://schemas.openxmlformats.org/officeDocument/2006/relationships/hyperlink" Id="rId197" Target="https://www.R-project.org/" TargetMode="External" /><Relationship Type="http://schemas.openxmlformats.org/officeDocument/2006/relationships/hyperlink" Id="rId179" Target="https://www.bclaws.gov.bc.ca/civix/document/id/complete/statreg/96344_01" TargetMode="External" /><Relationship Type="http://schemas.openxmlformats.org/officeDocument/2006/relationships/hyperlink" Id="rId79" Target="https://www.silvafennica.fi/article/446" TargetMode="External" /></Relationships>
</file>

<file path=word/_rels/footnotes.xml.rels><?xml version="1.0" encoding="UTF-8"?><Relationships xmlns="http://schemas.openxmlformats.org/package/2006/relationships"><Relationship Type="http://schemas.openxmlformats.org/officeDocument/2006/relationships/hyperlink" Id="rId214"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5" Target="https://doi.org/10.1002/eap.1874" TargetMode="External" /><Relationship Type="http://schemas.openxmlformats.org/officeDocument/2006/relationships/hyperlink" Id="rId167" Target="https://doi.org/10.1002/eap.2603" TargetMode="External" /><Relationship Type="http://schemas.openxmlformats.org/officeDocument/2006/relationships/hyperlink" Id="rId220"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7" Target="https://doi.org/10.1002/rse2.59" TargetMode="External" /><Relationship Type="http://schemas.openxmlformats.org/officeDocument/2006/relationships/hyperlink" Id="rId169" Target="https://doi.org/10.1007/BF02240252" TargetMode="External" /><Relationship Type="http://schemas.openxmlformats.org/officeDocument/2006/relationships/hyperlink" Id="rId193" Target="https://doi.org/10.1016/0378-1127(87)90100-9" TargetMode="External" /><Relationship Type="http://schemas.openxmlformats.org/officeDocument/2006/relationships/hyperlink" Id="rId132" Target="https://doi.org/10.1016/S0034-4257(02)00096-2" TargetMode="External" /><Relationship Type="http://schemas.openxmlformats.org/officeDocument/2006/relationships/hyperlink" Id="rId173"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5"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48" Target="https://doi.org/10.1016/j.foreco.2007.03.007" TargetMode="External" /><Relationship Type="http://schemas.openxmlformats.org/officeDocument/2006/relationships/hyperlink" Id="rId212"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2" Target="https://doi.org/10.1016/j.rse.2006.05.007" TargetMode="External" /><Relationship Type="http://schemas.openxmlformats.org/officeDocument/2006/relationships/hyperlink" Id="rId226" Target="https://doi.org/10.1016/j.rse.2011.10.028" TargetMode="External" /><Relationship Type="http://schemas.openxmlformats.org/officeDocument/2006/relationships/hyperlink" Id="rId165" Target="https://doi.org/10.1016/j.rse.2014.06.005" TargetMode="External" /><Relationship Type="http://schemas.openxmlformats.org/officeDocument/2006/relationships/hyperlink" Id="rId117"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59" Target="https://doi.org/10.1016/j.rse.2017.12.020" TargetMode="External" /><Relationship Type="http://schemas.openxmlformats.org/officeDocument/2006/relationships/hyperlink" Id="rId157" Target="https://doi.org/10.1016/j.rse.2018.07.024" TargetMode="External" /><Relationship Type="http://schemas.openxmlformats.org/officeDocument/2006/relationships/hyperlink" Id="rId199" Target="https://doi.org/10.1016/j.rse.2018.12.009" TargetMode="External" /><Relationship Type="http://schemas.openxmlformats.org/officeDocument/2006/relationships/hyperlink" Id="rId171" Target="https://doi.org/10.1016/j.rse.2019.111325" TargetMode="External" /><Relationship Type="http://schemas.openxmlformats.org/officeDocument/2006/relationships/hyperlink" Id="rId195" Target="https://doi.org/10.1016/j.rse.2021.112510" TargetMode="External" /><Relationship Type="http://schemas.openxmlformats.org/officeDocument/2006/relationships/hyperlink" Id="rId201"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89" Target="https://doi.org/10.1016/j.tree.2005.05.011" TargetMode="External" /><Relationship Type="http://schemas.openxmlformats.org/officeDocument/2006/relationships/hyperlink" Id="rId161"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6" Target="https://doi.org/10.1016/j.ufug.2018.03.004" TargetMode="External" /><Relationship Type="http://schemas.openxmlformats.org/officeDocument/2006/relationships/hyperlink" Id="rId191"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08"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0"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4"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4" Target="https://doi.org/10.1080/07038992.2014.945827" TargetMode="External" /><Relationship Type="http://schemas.openxmlformats.org/officeDocument/2006/relationships/hyperlink" Id="rId119"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6" Target="https://doi.org/10.1093/pan/mpr013" TargetMode="External" /><Relationship Type="http://schemas.openxmlformats.org/officeDocument/2006/relationships/hyperlink" Id="rId134"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3" Target="https://doi.org/10.1111/conl.12448" TargetMode="External" /><Relationship Type="http://schemas.openxmlformats.org/officeDocument/2006/relationships/hyperlink" Id="rId142" Target="https://doi.org/10.1111/ele.14521" TargetMode="External" /><Relationship Type="http://schemas.openxmlformats.org/officeDocument/2006/relationships/hyperlink" Id="rId153" Target="https://doi.org/10.1111/gcb.13645" TargetMode="External" /><Relationship Type="http://schemas.openxmlformats.org/officeDocument/2006/relationships/hyperlink" Id="rId163"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5" Target="https://doi.org/10.1111/j.1523-1739.1990.tb00309.x" TargetMode="External" /><Relationship Type="http://schemas.openxmlformats.org/officeDocument/2006/relationships/hyperlink" Id="rId185" Target="https://doi.org/10.1126/science.1229931" TargetMode="External" /><Relationship Type="http://schemas.openxmlformats.org/officeDocument/2006/relationships/hyperlink" Id="rId218" Target="https://doi.org/10.1126/science.aaa4984" TargetMode="External" /><Relationship Type="http://schemas.openxmlformats.org/officeDocument/2006/relationships/hyperlink" Id="rId146" Target="https://doi.org/10.1139/cjfr-2019-0422" TargetMode="External" /><Relationship Type="http://schemas.openxmlformats.org/officeDocument/2006/relationships/hyperlink" Id="rId126"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3" Target="https://doi.org/10.1201/9780429459016" TargetMode="External" /><Relationship Type="http://schemas.openxmlformats.org/officeDocument/2006/relationships/hyperlink" Id="rId138" Target="https://doi.org/10.1371/journal.pone.0008273" TargetMode="External" /><Relationship Type="http://schemas.openxmlformats.org/officeDocument/2006/relationships/hyperlink" Id="rId130" Target="https://doi.org/10.1890/130300" TargetMode="External" /><Relationship Type="http://schemas.openxmlformats.org/officeDocument/2006/relationships/hyperlink" Id="rId121"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0"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1" Target="https://doi.org/10.32614/RJ-2018-009" TargetMode="External" /><Relationship Type="http://schemas.openxmlformats.org/officeDocument/2006/relationships/hyperlink" Id="rId177" Target="https://doi.org/10.3389/fenvs.2024.1333762" TargetMode="External" /><Relationship Type="http://schemas.openxmlformats.org/officeDocument/2006/relationships/hyperlink" Id="rId128" Target="https://doi.org/10.5683/SP2/EVKAVL" TargetMode="External" /><Relationship Type="http://schemas.openxmlformats.org/officeDocument/2006/relationships/hyperlink" Id="rId140" Target="https://rpkgs.datanovia.com/rstatix/" TargetMode="External" /><Relationship Type="http://schemas.openxmlformats.org/officeDocument/2006/relationships/hyperlink" Id="rId124" Target="https://rspatial.org/" TargetMode="External" /><Relationship Type="http://schemas.openxmlformats.org/officeDocument/2006/relationships/hyperlink" Id="rId203" Target="https://ui.adsabs.harvard.edu/abs/2022AGUFM.B15A..05R" TargetMode="External" /><Relationship Type="http://schemas.openxmlformats.org/officeDocument/2006/relationships/hyperlink" Id="rId197" Target="https://www.R-project.org/" TargetMode="External" /><Relationship Type="http://schemas.openxmlformats.org/officeDocument/2006/relationships/hyperlink" Id="rId179" Target="https://www.bclaws.gov.bc.ca/civix/document/id/complete/statreg/96344_01" TargetMode="External" /><Relationship Type="http://schemas.openxmlformats.org/officeDocument/2006/relationships/hyperlink" Id="rId79" Target="https://www.silvafennica.fi/article/4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 Nicholas Coops; Txomin Hermosilla; Chris Mulverhill; Cole Burton; Stephen Ban</dc:creator>
  <cp:keywords>Protected areas, Coarsened exact matching, Reference states, Remote sensing, Ecosystem structure, Ecosystem function, Anthropogenic pressure, Human footprint</cp:keywords>
  <dcterms:created xsi:type="dcterms:W3CDTF">2024-11-05T21:51:33Z</dcterms:created>
  <dcterms:modified xsi:type="dcterms:W3CDTF">2024-11-05T21:51:33Z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Forests with high ecological integrity have natural or near natural ecosystem structure, function, and composition, are home to large amounts of biodiversity, and provide integral ecosystem services. Anthropogenic pressures such as habitat loss, overexploitation, and land use changes are leading to the degradation or loss of high integrity forests. As a result, it is important to be able to locate and assess the quality of forests stands across wide swaths of land. Remote sensing is inreasingly capable of making these assessments, through new data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anthropogenic 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useful when examining locations of rare ecosystems under large amounts of anthropogenic pressure. Further, we demonstrate that vertical forest structural attributes which area strongly related to biodiversity via niche availability and resource partitioning are influenced negatively by anthropogenic pressures.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2024-11-05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